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rPr>
          <w:rFonts w:ascii="楷体" w:hAnsi="楷体" w:eastAsia="楷体" w:cs="Times New Roman"/>
          <w:b/>
          <w:spacing w:val="-6"/>
          <w:sz w:val="44"/>
          <w:szCs w:val="44"/>
        </w:rPr>
      </w:pPr>
    </w:p>
    <w:p>
      <w:pPr>
        <w:adjustRightInd w:val="0"/>
        <w:snapToGrid w:val="0"/>
        <w:spacing w:line="288" w:lineRule="auto"/>
        <w:rPr>
          <w:rFonts w:ascii="楷体" w:hAnsi="楷体" w:eastAsia="楷体" w:cs="Times New Roman"/>
          <w:b/>
          <w:spacing w:val="-6"/>
          <w:sz w:val="44"/>
          <w:szCs w:val="44"/>
        </w:rPr>
      </w:pPr>
    </w:p>
    <w:p>
      <w:pPr>
        <w:adjustRightInd w:val="0"/>
        <w:snapToGrid w:val="0"/>
        <w:spacing w:line="288" w:lineRule="auto"/>
        <w:rPr>
          <w:rFonts w:ascii="楷体" w:hAnsi="楷体" w:eastAsia="楷体" w:cs="Times New Roman"/>
          <w:b/>
          <w:spacing w:val="-6"/>
          <w:sz w:val="44"/>
          <w:szCs w:val="44"/>
        </w:rPr>
      </w:pPr>
    </w:p>
    <w:p>
      <w:pPr>
        <w:adjustRightInd w:val="0"/>
        <w:snapToGrid w:val="0"/>
        <w:spacing w:line="288" w:lineRule="auto"/>
        <w:jc w:val="center"/>
        <w:rPr>
          <w:rFonts w:ascii="楷体" w:hAnsi="楷体" w:eastAsia="楷体" w:cs="Times New Roman"/>
          <w:b/>
          <w:spacing w:val="-6"/>
          <w:sz w:val="48"/>
          <w:szCs w:val="48"/>
        </w:rPr>
      </w:pPr>
      <w:r>
        <w:rPr>
          <w:rFonts w:hint="eastAsia" w:ascii="楷体" w:hAnsi="楷体" w:eastAsia="楷体" w:cs="Times New Roman"/>
          <w:b/>
          <w:spacing w:val="-6"/>
          <w:sz w:val="48"/>
          <w:szCs w:val="48"/>
        </w:rPr>
        <w:t>浙江机电职业技术学院</w:t>
      </w:r>
    </w:p>
    <w:p>
      <w:pPr>
        <w:adjustRightInd w:val="0"/>
        <w:snapToGrid w:val="0"/>
        <w:spacing w:line="288" w:lineRule="auto"/>
        <w:jc w:val="center"/>
        <w:rPr>
          <w:rFonts w:ascii="楷体" w:hAnsi="楷体" w:eastAsia="楷体" w:cs="Times New Roman"/>
          <w:b/>
          <w:spacing w:val="-6"/>
          <w:sz w:val="48"/>
          <w:szCs w:val="48"/>
        </w:rPr>
      </w:pPr>
      <w:r>
        <w:rPr>
          <w:rFonts w:hint="eastAsia" w:ascii="楷体" w:hAnsi="楷体" w:eastAsia="楷体" w:cs="Times New Roman"/>
          <w:b/>
          <w:spacing w:val="-6"/>
          <w:sz w:val="48"/>
          <w:szCs w:val="48"/>
        </w:rPr>
        <w:t>两校区交换机更新与安全性能提升</w:t>
      </w:r>
    </w:p>
    <w:p>
      <w:pPr>
        <w:adjustRightInd w:val="0"/>
        <w:snapToGrid w:val="0"/>
        <w:spacing w:line="288" w:lineRule="auto"/>
        <w:jc w:val="center"/>
        <w:rPr>
          <w:rFonts w:ascii="楷体" w:hAnsi="楷体" w:eastAsia="楷体" w:cs="Times New Roman"/>
          <w:b/>
          <w:spacing w:val="-6"/>
          <w:sz w:val="48"/>
          <w:szCs w:val="48"/>
        </w:rPr>
      </w:pPr>
    </w:p>
    <w:p>
      <w:pPr>
        <w:adjustRightInd w:val="0"/>
        <w:snapToGrid w:val="0"/>
        <w:spacing w:line="288" w:lineRule="auto"/>
        <w:jc w:val="center"/>
        <w:rPr>
          <w:rFonts w:ascii="楷体" w:hAnsi="楷体" w:eastAsia="楷体" w:cs="Times New Roman"/>
          <w:b/>
          <w:spacing w:val="-6"/>
          <w:sz w:val="48"/>
          <w:szCs w:val="48"/>
        </w:rPr>
      </w:pPr>
    </w:p>
    <w:p>
      <w:pPr>
        <w:adjustRightInd w:val="0"/>
        <w:snapToGrid w:val="0"/>
        <w:spacing w:line="288" w:lineRule="auto"/>
        <w:jc w:val="center"/>
        <w:rPr>
          <w:rFonts w:ascii="楷体" w:hAnsi="楷体" w:eastAsia="楷体" w:cs="Times New Roman"/>
          <w:b/>
          <w:spacing w:val="-6"/>
          <w:sz w:val="72"/>
          <w:szCs w:val="72"/>
        </w:rPr>
      </w:pPr>
      <w:r>
        <w:rPr>
          <w:rFonts w:hint="eastAsia" w:ascii="楷体" w:hAnsi="楷体" w:eastAsia="楷体" w:cs="Times New Roman"/>
          <w:b/>
          <w:spacing w:val="-6"/>
          <w:sz w:val="72"/>
          <w:szCs w:val="72"/>
        </w:rPr>
        <w:t>招 标 文 件</w:t>
      </w:r>
    </w:p>
    <w:p>
      <w:pPr>
        <w:widowControl/>
        <w:adjustRightInd w:val="0"/>
        <w:snapToGrid w:val="0"/>
        <w:spacing w:line="288" w:lineRule="auto"/>
        <w:ind w:right="-2"/>
        <w:jc w:val="center"/>
        <w:rPr>
          <w:rFonts w:ascii="楷体" w:hAnsi="楷体" w:eastAsia="楷体" w:cs="Times New Roman"/>
          <w:b/>
          <w:sz w:val="36"/>
          <w:szCs w:val="24"/>
        </w:rPr>
      </w:pPr>
      <w:r>
        <w:rPr>
          <w:rFonts w:hint="eastAsia" w:ascii="楷体" w:hAnsi="楷体" w:eastAsia="楷体" w:cs="Times New Roman"/>
          <w:b/>
          <w:sz w:val="36"/>
          <w:szCs w:val="24"/>
        </w:rPr>
        <w:t>（线上电子招投标）</w:t>
      </w:r>
    </w:p>
    <w:p>
      <w:pPr>
        <w:adjustRightInd w:val="0"/>
        <w:snapToGrid w:val="0"/>
        <w:spacing w:line="288" w:lineRule="auto"/>
        <w:jc w:val="center"/>
        <w:rPr>
          <w:rFonts w:ascii="楷体" w:hAnsi="楷体" w:eastAsia="楷体" w:cs="Times New Roman"/>
          <w:sz w:val="44"/>
          <w:szCs w:val="44"/>
        </w:rPr>
      </w:pPr>
    </w:p>
    <w:p>
      <w:pPr>
        <w:adjustRightInd w:val="0"/>
        <w:snapToGrid w:val="0"/>
        <w:spacing w:line="288" w:lineRule="auto"/>
        <w:jc w:val="center"/>
        <w:rPr>
          <w:rFonts w:ascii="楷体" w:hAnsi="楷体" w:eastAsia="楷体" w:cs="Times New Roman"/>
          <w:sz w:val="44"/>
          <w:szCs w:val="44"/>
        </w:rPr>
      </w:pPr>
    </w:p>
    <w:p>
      <w:pPr>
        <w:adjustRightInd w:val="0"/>
        <w:snapToGrid w:val="0"/>
        <w:spacing w:line="288" w:lineRule="auto"/>
        <w:rPr>
          <w:rFonts w:ascii="楷体" w:hAnsi="楷体" w:eastAsia="楷体" w:cs="Times New Roman"/>
          <w:b/>
          <w:spacing w:val="-6"/>
          <w:sz w:val="30"/>
          <w:szCs w:val="30"/>
        </w:rPr>
      </w:pPr>
      <w:r>
        <w:rPr>
          <w:rFonts w:hint="eastAsia" w:ascii="楷体" w:hAnsi="楷体" w:eastAsia="楷体" w:cs="Times New Roman"/>
          <w:b/>
          <w:spacing w:val="-6"/>
          <w:sz w:val="30"/>
          <w:szCs w:val="30"/>
        </w:rPr>
        <w:t>项目名称：两校区交换机更新与安全性能提升</w:t>
      </w:r>
    </w:p>
    <w:p>
      <w:pPr>
        <w:adjustRightInd w:val="0"/>
        <w:snapToGrid w:val="0"/>
        <w:spacing w:line="288" w:lineRule="auto"/>
        <w:rPr>
          <w:rFonts w:ascii="楷体" w:hAnsi="楷体" w:eastAsia="楷体" w:cs="Times New Roman"/>
          <w:b/>
          <w:spacing w:val="-6"/>
          <w:sz w:val="30"/>
          <w:szCs w:val="30"/>
        </w:rPr>
      </w:pPr>
      <w:r>
        <w:rPr>
          <w:rFonts w:hint="eastAsia" w:ascii="楷体" w:hAnsi="楷体" w:eastAsia="楷体" w:cs="Times New Roman"/>
          <w:b/>
          <w:spacing w:val="-6"/>
          <w:sz w:val="30"/>
          <w:szCs w:val="30"/>
        </w:rPr>
        <w:t>项目编号：QSZB-Z(H)-C23467(GK)</w:t>
      </w:r>
    </w:p>
    <w:p>
      <w:pPr>
        <w:adjustRightInd w:val="0"/>
        <w:snapToGrid w:val="0"/>
        <w:spacing w:line="288" w:lineRule="auto"/>
        <w:rPr>
          <w:rFonts w:ascii="楷体" w:hAnsi="楷体" w:eastAsia="楷体" w:cs="Times New Roman"/>
          <w:b/>
          <w:spacing w:val="-6"/>
          <w:sz w:val="30"/>
          <w:szCs w:val="30"/>
        </w:rPr>
      </w:pPr>
      <w:r>
        <w:rPr>
          <w:rFonts w:hint="eastAsia" w:ascii="楷体" w:hAnsi="楷体" w:eastAsia="楷体" w:cs="Times New Roman"/>
          <w:b/>
          <w:spacing w:val="-6"/>
          <w:sz w:val="30"/>
          <w:szCs w:val="30"/>
        </w:rPr>
        <w:t>采 购 人：浙江机电职业技术学院</w:t>
      </w:r>
    </w:p>
    <w:p>
      <w:pPr>
        <w:adjustRightInd w:val="0"/>
        <w:snapToGrid w:val="0"/>
        <w:spacing w:line="288" w:lineRule="auto"/>
        <w:rPr>
          <w:rFonts w:ascii="楷体" w:hAnsi="楷体" w:eastAsia="楷体" w:cs="Times New Roman"/>
          <w:b/>
          <w:spacing w:val="-6"/>
          <w:sz w:val="30"/>
          <w:szCs w:val="30"/>
        </w:rPr>
      </w:pPr>
      <w:r>
        <w:rPr>
          <w:rFonts w:hint="eastAsia" w:ascii="楷体" w:hAnsi="楷体" w:eastAsia="楷体" w:cs="Times New Roman"/>
          <w:b/>
          <w:spacing w:val="-6"/>
          <w:sz w:val="30"/>
          <w:szCs w:val="30"/>
        </w:rPr>
        <w:t>采购代理机构：浙江求是招标代理有限公司</w:t>
      </w:r>
    </w:p>
    <w:p>
      <w:pPr>
        <w:adjustRightInd w:val="0"/>
        <w:snapToGrid w:val="0"/>
        <w:spacing w:line="288" w:lineRule="auto"/>
        <w:rPr>
          <w:rFonts w:ascii="楷体" w:hAnsi="楷体" w:eastAsia="楷体" w:cs="Times New Roman"/>
          <w:b/>
          <w:spacing w:val="-6"/>
          <w:sz w:val="30"/>
          <w:szCs w:val="30"/>
          <w:highlight w:val="none"/>
        </w:rPr>
      </w:pPr>
      <w:r>
        <w:rPr>
          <w:rFonts w:ascii="楷体" w:hAnsi="楷体" w:eastAsia="楷体" w:cs="Times New Roman"/>
          <w:b/>
          <w:spacing w:val="-6"/>
          <w:sz w:val="30"/>
          <w:szCs w:val="30"/>
          <w:highlight w:val="none"/>
        </w:rPr>
        <w:t>采购计划文号：临[2023]71409号</w:t>
      </w:r>
    </w:p>
    <w:p>
      <w:pPr>
        <w:adjustRightInd w:val="0"/>
        <w:snapToGrid w:val="0"/>
        <w:spacing w:line="288" w:lineRule="auto"/>
        <w:rPr>
          <w:rFonts w:ascii="楷体" w:hAnsi="楷体" w:eastAsia="楷体" w:cs="Times New Roman"/>
          <w:b/>
          <w:szCs w:val="21"/>
        </w:rPr>
      </w:pPr>
    </w:p>
    <w:p>
      <w:pPr>
        <w:adjustRightInd w:val="0"/>
        <w:snapToGrid w:val="0"/>
        <w:spacing w:line="288" w:lineRule="auto"/>
        <w:rPr>
          <w:rFonts w:ascii="楷体" w:hAnsi="楷体" w:eastAsia="楷体" w:cs="Times New Roman"/>
          <w:b/>
          <w:szCs w:val="21"/>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pPr>
        <w:adjustRightInd w:val="0"/>
        <w:snapToGrid w:val="0"/>
        <w:spacing w:line="288" w:lineRule="auto"/>
        <w:rPr>
          <w:rFonts w:ascii="楷体" w:hAnsi="楷体" w:eastAsia="楷体" w:cs="Times New Roman"/>
          <w:b/>
          <w:sz w:val="30"/>
          <w:szCs w:val="30"/>
        </w:rPr>
      </w:pPr>
    </w:p>
    <w:p>
      <w:pPr>
        <w:adjustRightInd w:val="0"/>
        <w:snapToGrid w:val="0"/>
        <w:spacing w:line="288" w:lineRule="auto"/>
        <w:jc w:val="center"/>
        <w:outlineLvl w:val="0"/>
        <w:rPr>
          <w:rFonts w:ascii="楷体" w:hAnsi="楷体" w:eastAsia="楷体" w:cs="Times New Roman"/>
          <w:b/>
          <w:sz w:val="30"/>
          <w:szCs w:val="30"/>
        </w:rPr>
      </w:pPr>
      <w:r>
        <w:rPr>
          <w:rFonts w:ascii="楷体" w:hAnsi="楷体" w:eastAsia="楷体" w:cs="Times New Roman"/>
          <w:b/>
          <w:sz w:val="30"/>
          <w:szCs w:val="30"/>
        </w:rPr>
        <w:t>目</w:t>
      </w:r>
      <w:r>
        <w:rPr>
          <w:rFonts w:hint="eastAsia" w:ascii="楷体" w:hAnsi="楷体" w:eastAsia="楷体" w:cs="Times New Roman"/>
          <w:b/>
          <w:sz w:val="30"/>
          <w:szCs w:val="30"/>
        </w:rPr>
        <w:t xml:space="preserve">    </w:t>
      </w:r>
      <w:r>
        <w:rPr>
          <w:rFonts w:ascii="楷体" w:hAnsi="楷体" w:eastAsia="楷体" w:cs="Times New Roman"/>
          <w:b/>
          <w:sz w:val="30"/>
          <w:szCs w:val="30"/>
        </w:rPr>
        <w:t>录</w:t>
      </w:r>
    </w:p>
    <w:p>
      <w:pPr>
        <w:adjustRightInd w:val="0"/>
        <w:snapToGrid w:val="0"/>
        <w:spacing w:line="288" w:lineRule="auto"/>
        <w:rPr>
          <w:rFonts w:ascii="楷体" w:hAnsi="楷体" w:eastAsia="楷体" w:cs="Times New Roman"/>
          <w:b/>
          <w:sz w:val="30"/>
          <w:szCs w:val="30"/>
        </w:rPr>
      </w:pP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第一章  投标邀请</w:t>
      </w: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第二章  采购需求</w:t>
      </w: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第三章  投标人须知</w:t>
      </w: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第四章  评标方法和评标标准</w:t>
      </w: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第五章  拟签订的合同文本</w:t>
      </w: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第六章  投标文件格式</w:t>
      </w:r>
    </w:p>
    <w:p>
      <w:pPr>
        <w:widowControl/>
        <w:adjustRightInd w:val="0"/>
        <w:snapToGrid w:val="0"/>
        <w:spacing w:line="288" w:lineRule="auto"/>
        <w:jc w:val="left"/>
        <w:rPr>
          <w:rFonts w:ascii="宋体" w:hAnsi="宋体" w:eastAsia="宋体" w:cs="Times New Roman"/>
          <w:szCs w:val="21"/>
        </w:rPr>
      </w:pPr>
    </w:p>
    <w:p>
      <w:pPr>
        <w:widowControl/>
        <w:adjustRightInd w:val="0"/>
        <w:snapToGrid w:val="0"/>
        <w:spacing w:line="288" w:lineRule="auto"/>
        <w:jc w:val="left"/>
        <w:rPr>
          <w:rFonts w:ascii="宋体" w:hAnsi="宋体" w:eastAsia="宋体" w:cs="Times New Roman"/>
          <w:szCs w:val="21"/>
        </w:rPr>
        <w:sectPr>
          <w:footerReference r:id="rId5" w:type="default"/>
          <w:pgSz w:w="11906" w:h="16838"/>
          <w:pgMar w:top="1247" w:right="1247" w:bottom="1247" w:left="1247" w:header="0" w:footer="694" w:gutter="0"/>
          <w:cols w:space="720" w:num="1"/>
          <w:docGrid w:linePitch="381" w:charSpace="0"/>
        </w:sectPr>
      </w:pPr>
    </w:p>
    <w:p>
      <w:pPr>
        <w:adjustRightInd w:val="0"/>
        <w:snapToGrid w:val="0"/>
        <w:spacing w:line="288" w:lineRule="auto"/>
        <w:jc w:val="center"/>
        <w:outlineLvl w:val="0"/>
        <w:rPr>
          <w:rFonts w:ascii="宋体" w:hAnsi="宋体" w:eastAsia="宋体" w:cs="Times New Roman"/>
          <w:b/>
          <w:spacing w:val="-6"/>
          <w:sz w:val="32"/>
          <w:szCs w:val="32"/>
        </w:rPr>
      </w:pPr>
      <w:r>
        <w:rPr>
          <w:rFonts w:ascii="宋体" w:hAnsi="宋体" w:eastAsia="宋体" w:cs="Times New Roman"/>
          <w:b/>
          <w:spacing w:val="-6"/>
          <w:sz w:val="32"/>
          <w:szCs w:val="32"/>
        </w:rPr>
        <w:t>第一章  投标邀请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szCs w:val="21"/>
        </w:rPr>
      </w:pPr>
      <w:r>
        <w:rPr>
          <w:rFonts w:hint="eastAsia" w:ascii="宋体" w:hAnsi="宋体" w:eastAsia="宋体" w:cs="Times New Roman"/>
          <w:b/>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ascii="宋体" w:hAnsi="宋体" w:eastAsia="宋体" w:cs="Times New Roman"/>
          <w:b/>
          <w:szCs w:val="21"/>
        </w:rPr>
      </w:pPr>
      <w:r>
        <w:rPr>
          <w:rFonts w:hint="eastAsia" w:ascii="宋体" w:hAnsi="宋体" w:eastAsia="宋体" w:cs="Times New Roman"/>
          <w:b/>
          <w:szCs w:val="21"/>
          <w:u w:val="single"/>
        </w:rPr>
        <w:t xml:space="preserve"> 两校区交换机更新与安全性能提升 </w:t>
      </w:r>
      <w:r>
        <w:rPr>
          <w:rFonts w:hint="eastAsia" w:ascii="宋体" w:hAnsi="宋体" w:eastAsia="宋体" w:cs="Times New Roman"/>
          <w:b/>
          <w:szCs w:val="21"/>
        </w:rPr>
        <w:t>招标项目的潜在投标人应在</w:t>
      </w:r>
      <w:r>
        <w:rPr>
          <w:rFonts w:hint="eastAsia" w:ascii="宋体" w:hAnsi="宋体" w:eastAsia="宋体" w:cs="Times New Roman"/>
          <w:b/>
          <w:szCs w:val="21"/>
          <w:u w:val="single"/>
        </w:rPr>
        <w:t xml:space="preserve"> 政府采购云平台（https://www.zcygov.cn）</w:t>
      </w:r>
      <w:r>
        <w:rPr>
          <w:rFonts w:hint="eastAsia" w:ascii="宋体" w:hAnsi="宋体" w:eastAsia="宋体" w:cs="Times New Roman"/>
          <w:b/>
          <w:szCs w:val="21"/>
        </w:rPr>
        <w:t>获取（下载）招标文件，并于</w:t>
      </w:r>
      <w:r>
        <w:rPr>
          <w:rFonts w:hint="eastAsia" w:ascii="宋体" w:hAnsi="宋体" w:eastAsia="宋体" w:cs="Times New Roman"/>
          <w:b/>
          <w:szCs w:val="21"/>
          <w:highlight w:val="none"/>
          <w:u w:val="single"/>
        </w:rPr>
        <w:t>2023年11月7日14:00:00（</w:t>
      </w:r>
      <w:r>
        <w:rPr>
          <w:rFonts w:hint="eastAsia" w:ascii="宋体" w:hAnsi="宋体" w:eastAsia="宋体" w:cs="Times New Roman"/>
          <w:b/>
          <w:szCs w:val="21"/>
          <w:u w:val="single"/>
        </w:rPr>
        <w:t>北京时间）</w:t>
      </w:r>
      <w:r>
        <w:rPr>
          <w:rFonts w:hint="eastAsia" w:ascii="宋体" w:hAnsi="宋体" w:eastAsia="宋体" w:cs="Times New Roman"/>
          <w:b/>
          <w:bCs/>
          <w:szCs w:val="21"/>
        </w:rPr>
        <w:t>前递交（上传）投标</w:t>
      </w:r>
      <w:r>
        <w:rPr>
          <w:rFonts w:ascii="宋体" w:hAnsi="宋体" w:eastAsia="宋体" w:cs="Times New Roman"/>
          <w:b/>
          <w:bCs/>
          <w:szCs w:val="21"/>
        </w:rPr>
        <w:t>文件</w:t>
      </w:r>
      <w:r>
        <w:rPr>
          <w:rFonts w:hint="eastAsia" w:ascii="宋体" w:hAnsi="宋体" w:eastAsia="宋体" w:cs="Times New Roman"/>
          <w:b/>
          <w:szCs w:val="21"/>
        </w:rPr>
        <w:t>。</w:t>
      </w:r>
    </w:p>
    <w:p>
      <w:pPr>
        <w:adjustRightInd w:val="0"/>
        <w:snapToGrid w:val="0"/>
        <w:spacing w:line="288" w:lineRule="auto"/>
        <w:rPr>
          <w:rFonts w:ascii="宋体" w:hAnsi="宋体" w:eastAsia="宋体" w:cs="宋体"/>
          <w:b/>
          <w:szCs w:val="21"/>
        </w:rPr>
      </w:pPr>
      <w:bookmarkStart w:id="0" w:name="_Toc35393790"/>
      <w:bookmarkStart w:id="1" w:name="_Toc28359079"/>
      <w:bookmarkStart w:id="2" w:name="_Toc28359002"/>
      <w:bookmarkStart w:id="3" w:name="_Toc35393621"/>
      <w:bookmarkStart w:id="4" w:name="_Hlk24379207"/>
      <w:r>
        <w:rPr>
          <w:rFonts w:hint="eastAsia" w:ascii="宋体" w:hAnsi="宋体" w:eastAsia="宋体" w:cs="宋体"/>
          <w:b/>
          <w:szCs w:val="21"/>
        </w:rPr>
        <w:t>一、项目基本情况</w:t>
      </w:r>
      <w:bookmarkEnd w:id="0"/>
      <w:bookmarkEnd w:id="1"/>
      <w:bookmarkEnd w:id="2"/>
      <w:bookmarkEnd w:id="3"/>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1.项目编号：QSZB-Z(H)-C23467(GK)</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.项目名称：两校区交换机更新与安全性能提升</w:t>
      </w:r>
    </w:p>
    <w:bookmarkEnd w:id="4"/>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.预算金额：1</w:t>
      </w:r>
      <w:r>
        <w:rPr>
          <w:rFonts w:ascii="宋体" w:hAnsi="宋体" w:eastAsia="宋体" w:cs="Times New Roman"/>
          <w:szCs w:val="21"/>
        </w:rPr>
        <w:t>00</w:t>
      </w:r>
      <w:r>
        <w:rPr>
          <w:rFonts w:hint="eastAsia" w:ascii="宋体" w:hAnsi="宋体" w:eastAsia="宋体" w:cs="Times New Roman"/>
          <w:szCs w:val="21"/>
        </w:rPr>
        <w:t>万元</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.最高限价：1</w:t>
      </w:r>
      <w:r>
        <w:rPr>
          <w:rFonts w:ascii="宋体" w:hAnsi="宋体" w:eastAsia="宋体" w:cs="Times New Roman"/>
          <w:szCs w:val="21"/>
        </w:rPr>
        <w:t>00</w:t>
      </w:r>
      <w:r>
        <w:rPr>
          <w:rFonts w:hint="eastAsia" w:ascii="宋体" w:hAnsi="宋体" w:eastAsia="宋体" w:cs="Times New Roman"/>
          <w:szCs w:val="21"/>
        </w:rPr>
        <w:t>万元</w:t>
      </w:r>
    </w:p>
    <w:p>
      <w:pPr>
        <w:adjustRightInd w:val="0"/>
        <w:snapToGrid w:val="0"/>
        <w:spacing w:line="288" w:lineRule="auto"/>
        <w:ind w:firstLine="420" w:firstLineChars="200"/>
        <w:rPr>
          <w:rFonts w:ascii="宋体" w:hAnsi="宋体" w:eastAsia="宋体" w:cs="Times New Roman"/>
          <w:szCs w:val="21"/>
          <w:u w:val="single"/>
        </w:rPr>
      </w:pPr>
      <w:r>
        <w:rPr>
          <w:rFonts w:ascii="宋体" w:hAnsi="宋体" w:eastAsia="宋体" w:cs="Times New Roman"/>
          <w:szCs w:val="21"/>
        </w:rPr>
        <w:t>5</w:t>
      </w:r>
      <w:r>
        <w:rPr>
          <w:rFonts w:hint="eastAsia" w:ascii="宋体" w:hAnsi="宋体" w:eastAsia="宋体" w:cs="Times New Roman"/>
          <w:szCs w:val="21"/>
        </w:rPr>
        <w:t>.合同履约期限：详见招标文件第二章 采购需求</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6</w:t>
      </w:r>
      <w:r>
        <w:rPr>
          <w:rFonts w:hint="eastAsia" w:ascii="宋体" w:hAnsi="宋体" w:eastAsia="宋体" w:cs="Times New Roman"/>
          <w:bCs/>
          <w:szCs w:val="21"/>
          <w:highlight w:val="none"/>
        </w:rPr>
        <w:t>.本项目（是）接受联合体投标。</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.采购需求：</w:t>
      </w:r>
    </w:p>
    <w:tbl>
      <w:tblPr>
        <w:tblStyle w:val="23"/>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6"/>
        <w:gridCol w:w="708"/>
        <w:gridCol w:w="709"/>
        <w:gridCol w:w="311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006" w:type="dxa"/>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名称</w:t>
            </w:r>
          </w:p>
        </w:tc>
        <w:tc>
          <w:tcPr>
            <w:tcW w:w="708" w:type="dxa"/>
            <w:tcBorders>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数量</w:t>
            </w:r>
          </w:p>
        </w:tc>
        <w:tc>
          <w:tcPr>
            <w:tcW w:w="709" w:type="dxa"/>
            <w:tcBorders>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单位</w:t>
            </w:r>
          </w:p>
        </w:tc>
        <w:tc>
          <w:tcPr>
            <w:tcW w:w="3119" w:type="dxa"/>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简要技术需求或服务要求</w:t>
            </w:r>
          </w:p>
        </w:tc>
        <w:tc>
          <w:tcPr>
            <w:tcW w:w="1276" w:type="dxa"/>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rPr>
              <w:t>是否允许采购进口产品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06" w:type="dxa"/>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两校区交换机更新与安全性能提升</w:t>
            </w:r>
          </w:p>
        </w:tc>
        <w:tc>
          <w:tcPr>
            <w:tcW w:w="708" w:type="dxa"/>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1</w:t>
            </w:r>
          </w:p>
        </w:tc>
        <w:tc>
          <w:tcPr>
            <w:tcW w:w="709" w:type="dxa"/>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批</w:t>
            </w:r>
          </w:p>
        </w:tc>
        <w:tc>
          <w:tcPr>
            <w:tcW w:w="3119" w:type="dxa"/>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Times New Roman"/>
                <w:szCs w:val="21"/>
              </w:rPr>
              <w:t>详见招标文件第二章 采购需求</w:t>
            </w:r>
          </w:p>
        </w:tc>
        <w:tc>
          <w:tcPr>
            <w:tcW w:w="1276" w:type="dxa"/>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否</w:t>
            </w:r>
          </w:p>
        </w:tc>
      </w:tr>
    </w:tbl>
    <w:p>
      <w:pPr>
        <w:adjustRightInd w:val="0"/>
        <w:snapToGrid w:val="0"/>
        <w:spacing w:line="288" w:lineRule="auto"/>
        <w:rPr>
          <w:rFonts w:ascii="宋体" w:hAnsi="宋体" w:eastAsia="宋体" w:cs="宋体"/>
          <w:b/>
          <w:szCs w:val="21"/>
        </w:rPr>
      </w:pPr>
      <w:bookmarkStart w:id="5" w:name="_Toc35393622"/>
      <w:bookmarkStart w:id="6" w:name="_Toc28359003"/>
      <w:bookmarkStart w:id="7" w:name="_Toc28359080"/>
      <w:bookmarkStart w:id="8" w:name="_Toc35393791"/>
      <w:r>
        <w:rPr>
          <w:rFonts w:hint="eastAsia" w:ascii="宋体" w:hAnsi="宋体" w:eastAsia="宋体" w:cs="宋体"/>
          <w:b/>
          <w:szCs w:val="21"/>
        </w:rPr>
        <w:t>二、申请人的资格要求：</w:t>
      </w:r>
      <w:bookmarkEnd w:id="5"/>
      <w:bookmarkEnd w:id="6"/>
      <w:bookmarkEnd w:id="7"/>
      <w:bookmarkEnd w:id="8"/>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1.满足《中华人民共和国政府采购法》第二十二条规定，未被“信用中国”（www.creditchina.gov.cn）</w:t>
      </w:r>
      <w:r>
        <w:rPr>
          <w:rFonts w:ascii="宋体" w:hAnsi="宋体" w:eastAsia="宋体" w:cs="Times New Roman"/>
          <w:bCs/>
          <w:szCs w:val="21"/>
        </w:rPr>
        <w:t>、中国政府采购网（www.ccgp.gov.cn）列入失信被执行人、重大税收违法案件当事人名单、政府采购严重违法失信行为记录名单</w:t>
      </w:r>
      <w:r>
        <w:rPr>
          <w:rFonts w:hint="eastAsia" w:ascii="宋体" w:hAnsi="宋体" w:eastAsia="宋体" w:cs="Times New Roman"/>
          <w:bCs/>
          <w:szCs w:val="21"/>
        </w:rPr>
        <w:t>；</w:t>
      </w:r>
    </w:p>
    <w:p>
      <w:pPr>
        <w:adjustRightInd w:val="0"/>
        <w:snapToGrid w:val="0"/>
        <w:spacing w:line="288" w:lineRule="auto"/>
        <w:ind w:firstLine="420" w:firstLineChars="200"/>
        <w:rPr>
          <w:rFonts w:ascii="宋体" w:hAnsi="宋体" w:eastAsia="宋体" w:cs="Times New Roman"/>
          <w:szCs w:val="21"/>
        </w:rPr>
      </w:pPr>
      <w:bookmarkStart w:id="9" w:name="_Toc28359081"/>
      <w:bookmarkStart w:id="10" w:name="_Toc28359004"/>
      <w:r>
        <w:rPr>
          <w:rFonts w:hint="eastAsia" w:ascii="宋体" w:hAnsi="宋体" w:eastAsia="宋体" w:cs="Times New Roman"/>
          <w:szCs w:val="21"/>
        </w:rPr>
        <w:t>2.落实政府采购政策需满足的资格要求：无</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3.本项目的特定资格要求：无</w:t>
      </w:r>
    </w:p>
    <w:p>
      <w:pPr>
        <w:adjustRightInd w:val="0"/>
        <w:snapToGrid w:val="0"/>
        <w:spacing w:line="288" w:lineRule="auto"/>
        <w:rPr>
          <w:rFonts w:ascii="宋体" w:hAnsi="宋体" w:eastAsia="宋体" w:cs="宋体"/>
          <w:b/>
          <w:szCs w:val="21"/>
        </w:rPr>
      </w:pPr>
      <w:bookmarkStart w:id="11" w:name="_Toc35393792"/>
      <w:bookmarkStart w:id="12" w:name="_Toc35393623"/>
      <w:r>
        <w:rPr>
          <w:rFonts w:hint="eastAsia" w:ascii="宋体" w:hAnsi="宋体" w:eastAsia="宋体" w:cs="宋体"/>
          <w:b/>
          <w:szCs w:val="21"/>
        </w:rPr>
        <w:t>三、获取招标文件</w:t>
      </w:r>
      <w:bookmarkEnd w:id="9"/>
      <w:bookmarkEnd w:id="10"/>
      <w:bookmarkEnd w:id="11"/>
      <w:bookmarkEnd w:id="12"/>
    </w:p>
    <w:p>
      <w:pPr>
        <w:adjustRightInd w:val="0"/>
        <w:snapToGrid w:val="0"/>
        <w:spacing w:line="288" w:lineRule="auto"/>
        <w:ind w:firstLine="420" w:firstLineChars="200"/>
        <w:rPr>
          <w:rFonts w:ascii="宋体" w:hAnsi="宋体" w:eastAsia="宋体" w:cs="Times New Roman"/>
          <w:szCs w:val="21"/>
        </w:rPr>
      </w:pPr>
      <w:bookmarkStart w:id="13" w:name="_Toc28359005"/>
      <w:bookmarkStart w:id="14" w:name="_Toc28359082"/>
      <w:bookmarkStart w:id="15" w:name="_Toc35393793"/>
      <w:bookmarkStart w:id="16" w:name="_Toc35393624"/>
      <w:r>
        <w:rPr>
          <w:rFonts w:hint="eastAsia" w:ascii="宋体" w:hAnsi="宋体" w:eastAsia="宋体" w:cs="Times New Roman"/>
          <w:szCs w:val="21"/>
          <w:highlight w:val="none"/>
        </w:rPr>
        <w:t>1</w:t>
      </w:r>
      <w:r>
        <w:rPr>
          <w:rFonts w:ascii="宋体" w:hAnsi="宋体" w:eastAsia="宋体" w:cs="Times New Roman"/>
          <w:szCs w:val="21"/>
          <w:highlight w:val="none"/>
        </w:rPr>
        <w:t>.</w:t>
      </w:r>
      <w:r>
        <w:rPr>
          <w:rFonts w:hint="eastAsia" w:ascii="宋体" w:hAnsi="宋体" w:eastAsia="宋体" w:cs="Times New Roman"/>
          <w:szCs w:val="21"/>
          <w:highlight w:val="none"/>
        </w:rPr>
        <w:t>时间：2023年10月17日至2023年11月7日</w:t>
      </w:r>
      <w:r>
        <w:rPr>
          <w:rFonts w:hint="eastAsia" w:ascii="宋体" w:hAnsi="宋体" w:eastAsia="宋体" w:cs="Times New Roman"/>
          <w:szCs w:val="21"/>
        </w:rPr>
        <w:t>，上午</w:t>
      </w:r>
      <w:r>
        <w:rPr>
          <w:rFonts w:hint="eastAsia" w:ascii="宋体" w:hAnsi="宋体" w:eastAsia="宋体" w:cs="Times New Roman"/>
          <w:bCs/>
          <w:szCs w:val="21"/>
        </w:rPr>
        <w:t>00:00至12:00，下午12:00至23:59（北京时间，线上获取法定节假日均可，线下获取文件法定节假日除外）</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地点（网址）：政府采购云平台（https://www.zcygov.cn）</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方式：供应商登录政采云平台（https://www.zcygov.cn）</w:t>
      </w:r>
      <w:r>
        <w:rPr>
          <w:rFonts w:ascii="宋体" w:hAnsi="宋体" w:eastAsia="宋体" w:cs="Times New Roman"/>
          <w:szCs w:val="21"/>
        </w:rPr>
        <w:t>在线申请获取采购文件（进入“项目采购”应用，在获取采购文件菜单中选择项目，申请获取采购文件）。</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售价（元）：0</w:t>
      </w:r>
    </w:p>
    <w:p>
      <w:pPr>
        <w:adjustRightInd w:val="0"/>
        <w:snapToGrid w:val="0"/>
        <w:spacing w:line="288" w:lineRule="auto"/>
        <w:rPr>
          <w:rFonts w:ascii="宋体" w:hAnsi="宋体" w:eastAsia="宋体" w:cs="宋体"/>
          <w:b/>
          <w:szCs w:val="21"/>
        </w:rPr>
      </w:pPr>
      <w:r>
        <w:rPr>
          <w:rFonts w:hint="eastAsia" w:ascii="宋体" w:hAnsi="宋体" w:eastAsia="宋体" w:cs="宋体"/>
          <w:b/>
          <w:szCs w:val="21"/>
        </w:rPr>
        <w:t>四、提交（上传）投标文件</w:t>
      </w:r>
      <w:bookmarkEnd w:id="13"/>
      <w:bookmarkEnd w:id="14"/>
      <w:r>
        <w:rPr>
          <w:rFonts w:hint="eastAsia" w:ascii="宋体" w:hAnsi="宋体" w:eastAsia="宋体" w:cs="宋体"/>
          <w:b/>
          <w:szCs w:val="21"/>
        </w:rPr>
        <w:t>截止时间、开标时间和地点</w:t>
      </w:r>
      <w:bookmarkEnd w:id="15"/>
      <w:bookmarkEnd w:id="16"/>
    </w:p>
    <w:p>
      <w:pPr>
        <w:adjustRightInd w:val="0"/>
        <w:snapToGrid w:val="0"/>
        <w:spacing w:line="288" w:lineRule="auto"/>
        <w:ind w:firstLine="420" w:firstLineChars="200"/>
        <w:rPr>
          <w:rFonts w:ascii="宋体" w:hAnsi="宋体" w:eastAsia="宋体" w:cs="Times New Roman"/>
          <w:bCs/>
          <w:szCs w:val="21"/>
        </w:rPr>
      </w:pPr>
      <w:bookmarkStart w:id="17" w:name="_Hlk81212057"/>
      <w:r>
        <w:rPr>
          <w:rFonts w:hint="eastAsia" w:ascii="宋体" w:hAnsi="宋体" w:eastAsia="宋体" w:cs="Times New Roman"/>
          <w:bCs/>
          <w:szCs w:val="21"/>
        </w:rPr>
        <w:t>提交投标文件截止时间：</w:t>
      </w:r>
      <w:r>
        <w:rPr>
          <w:rFonts w:hint="eastAsia" w:ascii="宋体" w:hAnsi="宋体" w:eastAsia="宋体" w:cs="Times New Roman"/>
          <w:bCs/>
          <w:szCs w:val="21"/>
          <w:highlight w:val="none"/>
        </w:rPr>
        <w:t>2023年11月7日14:00:00（北京时间）</w:t>
      </w:r>
    </w:p>
    <w:p>
      <w:pPr>
        <w:adjustRightInd w:val="0"/>
        <w:snapToGrid w:val="0"/>
        <w:spacing w:line="288" w:lineRule="auto"/>
        <w:ind w:firstLine="420" w:firstLineChars="200"/>
        <w:rPr>
          <w:rFonts w:ascii="宋体" w:hAnsi="宋体" w:eastAsia="宋体" w:cs="Times New Roman"/>
          <w:bCs/>
          <w:szCs w:val="21"/>
        </w:rPr>
      </w:pPr>
      <w:r>
        <w:rPr>
          <w:rFonts w:ascii="宋体" w:hAnsi="宋体" w:eastAsia="宋体" w:cs="Times New Roman"/>
          <w:bCs/>
          <w:szCs w:val="21"/>
        </w:rPr>
        <w:t>投标地点（网址）：</w:t>
      </w:r>
      <w:r>
        <w:rPr>
          <w:rFonts w:hint="eastAsia" w:ascii="宋体" w:hAnsi="宋体" w:eastAsia="宋体" w:cs="Times New Roman"/>
          <w:szCs w:val="21"/>
        </w:rPr>
        <w:t>政府采购云平台（https://www.zcygov.cn）</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rPr>
        <w:t>开标时间：</w:t>
      </w:r>
      <w:r>
        <w:rPr>
          <w:rFonts w:hint="eastAsia" w:ascii="宋体" w:hAnsi="宋体" w:eastAsia="宋体" w:cs="Times New Roman"/>
          <w:bCs/>
          <w:szCs w:val="21"/>
          <w:highlight w:val="none"/>
        </w:rPr>
        <w:t>2023年11月7日14:00:00（北京时间）</w:t>
      </w:r>
    </w:p>
    <w:p>
      <w:pPr>
        <w:adjustRightInd w:val="0"/>
        <w:snapToGrid w:val="0"/>
        <w:spacing w:line="288" w:lineRule="auto"/>
        <w:ind w:firstLine="420" w:firstLineChars="200"/>
        <w:rPr>
          <w:rFonts w:ascii="宋体" w:hAnsi="宋体" w:eastAsia="宋体" w:cs="Times New Roman"/>
          <w:bCs/>
          <w:szCs w:val="21"/>
          <w:highlight w:val="yellow"/>
        </w:rPr>
      </w:pPr>
      <w:r>
        <w:rPr>
          <w:rFonts w:ascii="宋体" w:hAnsi="宋体" w:eastAsia="宋体" w:cs="Times New Roman"/>
          <w:bCs/>
          <w:szCs w:val="21"/>
        </w:rPr>
        <w:t>开标地点（网址）：</w:t>
      </w:r>
      <w:r>
        <w:rPr>
          <w:rFonts w:hint="eastAsia" w:ascii="宋体" w:hAnsi="宋体" w:eastAsia="宋体" w:cs="Times New Roman"/>
          <w:szCs w:val="21"/>
        </w:rPr>
        <w:t>政府采购云平台（https://www.zcygov.cn）</w:t>
      </w:r>
      <w:bookmarkStart w:id="18" w:name="_Hlk81212131"/>
      <w:r>
        <w:rPr>
          <w:rFonts w:hint="eastAsia" w:ascii="宋体" w:hAnsi="宋体" w:eastAsia="宋体" w:cs="Times New Roman"/>
          <w:szCs w:val="21"/>
        </w:rPr>
        <w:t>/</w:t>
      </w:r>
      <w:bookmarkEnd w:id="18"/>
      <w:r>
        <w:rPr>
          <w:rFonts w:hint="eastAsia" w:ascii="宋体" w:hAnsi="宋体" w:eastAsia="宋体" w:cs="Times New Roman"/>
          <w:szCs w:val="21"/>
        </w:rPr>
        <w:t>杭州市西湖区玉古路173号中田大厦16楼（求是招标会议室7）</w:t>
      </w:r>
    </w:p>
    <w:bookmarkEnd w:id="17"/>
    <w:p>
      <w:pPr>
        <w:adjustRightInd w:val="0"/>
        <w:snapToGrid w:val="0"/>
        <w:spacing w:line="288" w:lineRule="auto"/>
        <w:rPr>
          <w:rFonts w:ascii="宋体" w:hAnsi="宋体" w:eastAsia="宋体" w:cs="宋体"/>
          <w:b/>
          <w:szCs w:val="21"/>
        </w:rPr>
      </w:pPr>
      <w:bookmarkStart w:id="19" w:name="_Toc35393625"/>
      <w:bookmarkStart w:id="20" w:name="_Toc28359084"/>
      <w:bookmarkStart w:id="21" w:name="_Toc28359007"/>
      <w:bookmarkStart w:id="22" w:name="_Toc35393794"/>
      <w:r>
        <w:rPr>
          <w:rFonts w:hint="eastAsia" w:ascii="宋体" w:hAnsi="宋体" w:eastAsia="宋体" w:cs="宋体"/>
          <w:b/>
          <w:szCs w:val="21"/>
        </w:rPr>
        <w:t>五、公告期限</w:t>
      </w:r>
      <w:bookmarkEnd w:id="19"/>
      <w:bookmarkEnd w:id="20"/>
      <w:bookmarkEnd w:id="21"/>
      <w:bookmarkEnd w:id="22"/>
    </w:p>
    <w:p>
      <w:pPr>
        <w:adjustRightInd w:val="0"/>
        <w:snapToGrid w:val="0"/>
        <w:spacing w:line="288" w:lineRule="auto"/>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自本公告发布之日起5个工作日。</w:t>
      </w:r>
    </w:p>
    <w:p>
      <w:pPr>
        <w:adjustRightInd w:val="0"/>
        <w:snapToGrid w:val="0"/>
        <w:spacing w:line="288" w:lineRule="auto"/>
        <w:rPr>
          <w:rFonts w:ascii="宋体" w:hAnsi="宋体" w:eastAsia="宋体" w:cs="宋体"/>
          <w:b/>
          <w:szCs w:val="21"/>
        </w:rPr>
      </w:pPr>
      <w:bookmarkStart w:id="23" w:name="_Toc35393626"/>
      <w:bookmarkStart w:id="24" w:name="_Toc35393795"/>
      <w:r>
        <w:rPr>
          <w:rFonts w:hint="eastAsia" w:ascii="宋体" w:hAnsi="宋体" w:eastAsia="宋体" w:cs="宋体"/>
          <w:b/>
          <w:szCs w:val="21"/>
        </w:rPr>
        <w:t>六、其他补充事宜</w:t>
      </w:r>
      <w:bookmarkEnd w:id="23"/>
      <w:bookmarkEnd w:id="24"/>
    </w:p>
    <w:p>
      <w:pPr>
        <w:adjustRightInd w:val="0"/>
        <w:snapToGrid w:val="0"/>
        <w:spacing w:line="288" w:lineRule="auto"/>
        <w:ind w:firstLine="420" w:firstLineChars="200"/>
        <w:rPr>
          <w:rFonts w:ascii="宋体" w:hAnsi="宋体" w:eastAsia="宋体" w:cs="Times New Roman"/>
          <w:szCs w:val="21"/>
        </w:rPr>
      </w:pPr>
      <w:bookmarkStart w:id="25" w:name="_Hlk92271231"/>
      <w:r>
        <w:rPr>
          <w:rFonts w:ascii="宋体" w:hAnsi="宋体" w:eastAsia="宋体" w:cs="Times New Roman"/>
          <w:szCs w:val="21"/>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djustRightInd w:val="0"/>
        <w:snapToGrid w:val="0"/>
        <w:spacing w:line="288" w:lineRule="auto"/>
        <w:ind w:firstLine="420" w:firstLineChars="200"/>
        <w:rPr>
          <w:rFonts w:ascii="宋体" w:hAnsi="宋体" w:eastAsia="宋体" w:cs="Times New Roman"/>
          <w:szCs w:val="21"/>
          <w:highlight w:val="cyan"/>
        </w:rPr>
      </w:pPr>
      <w:r>
        <w:rPr>
          <w:rFonts w:ascii="宋体" w:hAnsi="宋体" w:eastAsia="宋体" w:cs="Times New Roman"/>
          <w:szCs w:val="21"/>
        </w:rPr>
        <w:t>4.其他事项：</w:t>
      </w:r>
      <w:bookmarkStart w:id="26" w:name="_Hlk92271331"/>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需要落实的政府采购政策：包括节约资源、保护环境、</w:t>
      </w:r>
      <w:bookmarkStart w:id="27" w:name="_Hlk106877787"/>
      <w:r>
        <w:rPr>
          <w:rFonts w:hint="eastAsia" w:ascii="宋体" w:hAnsi="宋体" w:eastAsia="宋体" w:cs="Times New Roman"/>
          <w:szCs w:val="21"/>
        </w:rPr>
        <w:t>支持科技创新、</w:t>
      </w:r>
      <w:bookmarkEnd w:id="27"/>
      <w:r>
        <w:rPr>
          <w:rFonts w:ascii="宋体" w:hAnsi="宋体" w:eastAsia="宋体" w:cs="Times New Roman"/>
          <w:szCs w:val="21"/>
        </w:rPr>
        <w:t>促进中小企业发展等。详见招标文件的第</w:t>
      </w:r>
      <w:r>
        <w:rPr>
          <w:rFonts w:hint="eastAsia" w:ascii="宋体" w:hAnsi="宋体" w:eastAsia="宋体" w:cs="Times New Roman"/>
          <w:szCs w:val="21"/>
        </w:rPr>
        <w:t>三章-采购项目需要落实的政府采购政策</w:t>
      </w:r>
      <w:r>
        <w:rPr>
          <w:rFonts w:ascii="宋体" w:hAnsi="宋体" w:eastAsia="宋体" w:cs="Times New Roman"/>
          <w:szCs w:val="21"/>
        </w:rPr>
        <w:t>。</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w:t>
      </w:r>
      <w:bookmarkStart w:id="28" w:name="_Hlk92271072"/>
      <w:r>
        <w:rPr>
          <w:rFonts w:hint="eastAsia" w:ascii="宋体" w:hAnsi="宋体" w:eastAsia="宋体" w:cs="Times New Roman"/>
          <w:szCs w:val="21"/>
        </w:rPr>
        <w:t>（2）</w:t>
      </w:r>
      <w:r>
        <w:rPr>
          <w:rFonts w:ascii="宋体" w:hAnsi="宋体" w:eastAsia="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pPr>
        <w:adjustRightInd w:val="0"/>
        <w:snapToGrid w:val="0"/>
        <w:spacing w:line="288" w:lineRule="auto"/>
        <w:rPr>
          <w:rFonts w:ascii="宋体" w:hAnsi="宋体" w:eastAsia="宋体" w:cs="Times New Roman"/>
          <w:b/>
          <w:szCs w:val="21"/>
        </w:rPr>
      </w:pPr>
      <w:bookmarkStart w:id="29" w:name="_Toc35393796"/>
      <w:bookmarkStart w:id="30" w:name="_Toc28359085"/>
      <w:bookmarkStart w:id="31" w:name="_Toc35393627"/>
      <w:bookmarkStart w:id="32" w:name="_Toc28359008"/>
      <w:r>
        <w:rPr>
          <w:rFonts w:hint="eastAsia" w:ascii="宋体" w:hAnsi="宋体" w:eastAsia="宋体" w:cs="宋体"/>
          <w:b/>
          <w:szCs w:val="21"/>
        </w:rPr>
        <w:t>七、对本次招标提出询问、质疑、投诉请按</w:t>
      </w:r>
      <w:r>
        <w:rPr>
          <w:rFonts w:ascii="宋体" w:hAnsi="宋体" w:eastAsia="宋体" w:cs="宋体"/>
          <w:b/>
          <w:szCs w:val="21"/>
        </w:rPr>
        <w:t>以下方式</w:t>
      </w:r>
      <w:r>
        <w:rPr>
          <w:rFonts w:hint="eastAsia" w:ascii="宋体" w:hAnsi="宋体" w:eastAsia="宋体" w:cs="宋体"/>
          <w:b/>
          <w:szCs w:val="21"/>
        </w:rPr>
        <w:t>联系</w:t>
      </w:r>
      <w:bookmarkEnd w:id="29"/>
      <w:bookmarkEnd w:id="30"/>
      <w:bookmarkEnd w:id="31"/>
      <w:bookmarkEnd w:id="32"/>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1.采购人信息</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名称：浙江机电职业技术学院</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地址：杭州市滨江区滨文路</w:t>
      </w:r>
      <w:r>
        <w:rPr>
          <w:rFonts w:ascii="宋体" w:hAnsi="宋体" w:eastAsia="宋体" w:cs="Times New Roman"/>
          <w:szCs w:val="21"/>
        </w:rPr>
        <w:t>528号</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传真：/</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项目联系人（询问）：李老师</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项目联系方式（询问）：</w:t>
      </w:r>
      <w:r>
        <w:rPr>
          <w:rFonts w:hint="eastAsia" w:ascii="宋体" w:hAnsi="宋体" w:eastAsia="宋体" w:cs="Times New Roman"/>
        </w:rPr>
        <w:t>13588126312</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采购联系人：郑老师</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采购联系方式：</w:t>
      </w:r>
      <w:r>
        <w:rPr>
          <w:rFonts w:ascii="宋体" w:hAnsi="宋体" w:eastAsia="宋体" w:cs="Times New Roman"/>
          <w:szCs w:val="21"/>
        </w:rPr>
        <w:t>0571-87772613</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质疑联系人：刘老师</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质疑联系方式：</w:t>
      </w:r>
      <w:r>
        <w:rPr>
          <w:rFonts w:ascii="宋体" w:hAnsi="宋体" w:eastAsia="宋体" w:cs="Times New Roman"/>
          <w:szCs w:val="21"/>
        </w:rPr>
        <w:t>0571-87773085</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2.采购代理机构信息</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名称：浙江求是招标代理有限公司</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地址：杭州市西湖区玉古路173号中田大厦21楼</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传真：/</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项目联系人（询问）：</w:t>
      </w:r>
      <w:r>
        <w:rPr>
          <w:rFonts w:hint="eastAsia" w:ascii="宋体" w:hAnsi="宋体" w:eastAsia="宋体" w:cs="Times New Roman"/>
          <w:bCs/>
          <w:spacing w:val="-6"/>
          <w:szCs w:val="21"/>
        </w:rPr>
        <w:t>温瑶</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项目联系方式（询问）：0571-87666115</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质疑联系人：胡沁梦</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质疑联系方式：0571-81110356</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质疑邮箱：</w:t>
      </w:r>
      <w:r>
        <w:rPr>
          <w:rFonts w:ascii="宋体" w:hAnsi="宋体" w:eastAsia="宋体" w:cs="Times New Roman"/>
          <w:szCs w:val="21"/>
        </w:rPr>
        <w:t>jdkh@qszb.net</w:t>
      </w:r>
    </w:p>
    <w:p>
      <w:pPr>
        <w:adjustRightInd w:val="0"/>
        <w:snapToGrid w:val="0"/>
        <w:spacing w:line="288" w:lineRule="auto"/>
        <w:ind w:firstLine="424" w:firstLineChars="202"/>
        <w:rPr>
          <w:rFonts w:ascii="宋体" w:hAnsi="宋体" w:eastAsia="宋体" w:cs="Times New Roman"/>
          <w:szCs w:val="21"/>
        </w:rPr>
      </w:pPr>
      <w:bookmarkStart w:id="33" w:name="_Hlk124147873"/>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3.同级政府采购监督管理部门</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名称：浙江省财政厅政府采购监管处、浙江省政府采购行政裁决服务中心（杭州）</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地址：杭州市上城区四季青街道新业路市民之家G03办公室</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传真：/</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联系人：朱女士、王女士</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监督投诉电话：0571-85252453</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政策咨询：何一平、冯华，0571-87058424、87055741</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预算金额未达100万元的采购项目，由采购人处理采购争议。</w:t>
      </w:r>
    </w:p>
    <w:p>
      <w:pPr>
        <w:adjustRightInd w:val="0"/>
        <w:snapToGrid w:val="0"/>
        <w:spacing w:line="288" w:lineRule="auto"/>
        <w:ind w:firstLine="370"/>
        <w:rPr>
          <w:rFonts w:ascii="宋体" w:hAnsi="宋体" w:eastAsia="宋体" w:cs="Times New Roman"/>
          <w:spacing w:val="-6"/>
          <w:szCs w:val="21"/>
        </w:rPr>
      </w:pPr>
    </w:p>
    <w:p>
      <w:pPr>
        <w:adjustRightInd w:val="0"/>
        <w:snapToGrid w:val="0"/>
        <w:spacing w:line="288" w:lineRule="auto"/>
        <w:ind w:firstLine="420" w:firstLineChars="200"/>
        <w:rPr>
          <w:rFonts w:ascii="宋体" w:hAnsi="宋体" w:eastAsia="宋体" w:cs="Times New Roman"/>
          <w:szCs w:val="21"/>
        </w:rPr>
      </w:pPr>
      <w:bookmarkStart w:id="34" w:name="_Hlk143604927"/>
      <w:r>
        <w:rPr>
          <w:rFonts w:hint="eastAsia" w:ascii="宋体" w:hAnsi="宋体" w:eastAsia="宋体" w:cs="Times New Roman"/>
          <w:szCs w:val="21"/>
        </w:rPr>
        <w:t>若对项目采购电子交易系统操作有疑问，可登录政采云（</w:t>
      </w:r>
      <w:r>
        <w:rPr>
          <w:rFonts w:ascii="宋体" w:hAnsi="宋体" w:eastAsia="宋体" w:cs="Times New Roman"/>
          <w:szCs w:val="21"/>
        </w:rPr>
        <w:t>https://www.zcygov.cn/），点击右侧咨询小采，获取采小蜜智能服务管家帮助，或拨打政采云服务热线95763获取热线服务帮助。</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CA问题联系电话（人工）：汇信CA 400-888-4636；天谷CA 400-087-8198。</w:t>
      </w:r>
    </w:p>
    <w:bookmarkEnd w:id="33"/>
    <w:bookmarkEnd w:id="34"/>
    <w:p>
      <w:pPr>
        <w:adjustRightInd w:val="0"/>
        <w:snapToGrid w:val="0"/>
        <w:spacing w:line="288" w:lineRule="auto"/>
        <w:ind w:left="238"/>
        <w:jc w:val="center"/>
        <w:outlineLvl w:val="0"/>
        <w:rPr>
          <w:rFonts w:ascii="宋体" w:hAnsi="宋体" w:eastAsia="宋体" w:cs="Times New Roman"/>
          <w:b/>
          <w:bCs/>
          <w:sz w:val="32"/>
          <w:szCs w:val="32"/>
        </w:rPr>
      </w:pPr>
      <w:r>
        <w:rPr>
          <w:rFonts w:hint="eastAsia" w:ascii="宋体" w:hAnsi="宋体" w:eastAsia="宋体" w:cs="Times New Roman"/>
          <w:szCs w:val="21"/>
        </w:rPr>
        <w:br w:type="page"/>
      </w:r>
      <w:r>
        <w:rPr>
          <w:rFonts w:hint="eastAsia" w:ascii="宋体" w:hAnsi="宋体" w:eastAsia="宋体" w:cs="Times New Roman"/>
          <w:b/>
          <w:sz w:val="32"/>
          <w:szCs w:val="32"/>
        </w:rPr>
        <w:t xml:space="preserve">第二章  </w:t>
      </w:r>
      <w:r>
        <w:rPr>
          <w:rFonts w:hint="eastAsia" w:ascii="宋体" w:hAnsi="宋体" w:eastAsia="宋体" w:cs="Times New Roman"/>
          <w:b/>
          <w:bCs/>
          <w:sz w:val="32"/>
          <w:szCs w:val="32"/>
        </w:rPr>
        <w:t>采购需求</w:t>
      </w:r>
    </w:p>
    <w:p>
      <w:pPr>
        <w:adjustRightInd w:val="0"/>
        <w:snapToGrid w:val="0"/>
        <w:spacing w:line="288" w:lineRule="auto"/>
        <w:outlineLvl w:val="1"/>
        <w:rPr>
          <w:rFonts w:ascii="宋体" w:hAnsi="宋体" w:eastAsia="宋体" w:cs="Times New Roman"/>
          <w:b/>
          <w:szCs w:val="21"/>
        </w:rPr>
      </w:pPr>
      <w:r>
        <w:rPr>
          <w:rFonts w:hint="eastAsia" w:ascii="宋体" w:hAnsi="宋体" w:eastAsia="宋体" w:cs="Times New Roman"/>
          <w:b/>
          <w:szCs w:val="21"/>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szCs w:val="21"/>
              </w:rPr>
            </w:pPr>
            <w:bookmarkStart w:id="35" w:name="_Hlk45005599"/>
            <w:r>
              <w:rPr>
                <w:rFonts w:hint="eastAsia" w:ascii="宋体" w:hAnsi="宋体" w:eastAsia="宋体" w:cs="宋体"/>
                <w:b/>
                <w:bCs/>
                <w:szCs w:val="21"/>
              </w:rPr>
              <w:t>序号</w:t>
            </w:r>
          </w:p>
        </w:tc>
        <w:tc>
          <w:tcPr>
            <w:tcW w:w="3256"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政策名称</w:t>
            </w:r>
          </w:p>
        </w:tc>
        <w:tc>
          <w:tcPr>
            <w:tcW w:w="5529"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szCs w:val="21"/>
              </w:rPr>
              <w:t>1</w:t>
            </w:r>
          </w:p>
        </w:tc>
        <w:tc>
          <w:tcPr>
            <w:tcW w:w="3256" w:type="dxa"/>
            <w:vAlign w:val="center"/>
          </w:tcPr>
          <w:p>
            <w:pPr>
              <w:adjustRightInd w:val="0"/>
              <w:snapToGrid w:val="0"/>
              <w:spacing w:line="288" w:lineRule="auto"/>
              <w:jc w:val="left"/>
              <w:rPr>
                <w:rFonts w:ascii="宋体" w:hAnsi="宋体" w:eastAsia="宋体" w:cs="宋体"/>
                <w:b/>
                <w:bCs/>
                <w:szCs w:val="21"/>
              </w:rPr>
            </w:pPr>
            <w:r>
              <w:rPr>
                <w:rFonts w:hint="eastAsia" w:ascii="宋体" w:hAnsi="宋体" w:eastAsia="宋体" w:cs="宋体"/>
                <w:szCs w:val="21"/>
              </w:rPr>
              <w:t>政府采购进口产品</w:t>
            </w:r>
          </w:p>
        </w:tc>
        <w:tc>
          <w:tcPr>
            <w:tcW w:w="5529" w:type="dxa"/>
            <w:vAlign w:val="center"/>
          </w:tcPr>
          <w:p>
            <w:pPr>
              <w:adjustRightInd w:val="0"/>
              <w:snapToGrid w:val="0"/>
              <w:spacing w:line="288" w:lineRule="auto"/>
              <w:jc w:val="left"/>
              <w:rPr>
                <w:rFonts w:ascii="宋体" w:hAnsi="宋体" w:eastAsia="宋体" w:cs="宋体"/>
                <w:b/>
                <w:bCs/>
                <w:szCs w:val="21"/>
              </w:rPr>
            </w:pPr>
            <w:r>
              <w:rPr>
                <w:rFonts w:hint="eastAsia" w:ascii="宋体" w:hAnsi="宋体" w:eastAsia="宋体" w:cs="宋体"/>
                <w:szCs w:val="21"/>
              </w:rPr>
              <w:t>不允许采购进口产品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szCs w:val="21"/>
              </w:rPr>
              <w:t>2</w:t>
            </w:r>
          </w:p>
        </w:tc>
        <w:tc>
          <w:tcPr>
            <w:tcW w:w="3256" w:type="dxa"/>
            <w:vAlign w:val="center"/>
          </w:tcPr>
          <w:p>
            <w:pPr>
              <w:adjustRightInd w:val="0"/>
              <w:snapToGrid w:val="0"/>
              <w:spacing w:line="288" w:lineRule="auto"/>
              <w:jc w:val="left"/>
              <w:rPr>
                <w:rFonts w:ascii="宋体" w:hAnsi="宋体" w:eastAsia="宋体" w:cs="宋体"/>
                <w:b/>
                <w:bCs/>
                <w:szCs w:val="21"/>
              </w:rPr>
            </w:pPr>
            <w:r>
              <w:rPr>
                <w:rFonts w:hint="eastAsia" w:ascii="宋体" w:hAnsi="宋体" w:eastAsia="宋体" w:cs="宋体"/>
                <w:szCs w:val="21"/>
              </w:rPr>
              <w:t>政府强制采购节能产品</w:t>
            </w:r>
          </w:p>
        </w:tc>
        <w:tc>
          <w:tcPr>
            <w:tcW w:w="5529" w:type="dxa"/>
            <w:vAlign w:val="center"/>
          </w:tcPr>
          <w:p>
            <w:pPr>
              <w:adjustRightInd w:val="0"/>
              <w:snapToGrid w:val="0"/>
              <w:spacing w:line="288" w:lineRule="auto"/>
              <w:jc w:val="left"/>
              <w:rPr>
                <w:rFonts w:ascii="宋体" w:hAnsi="宋体" w:eastAsia="宋体" w:cs="宋体"/>
                <w:b/>
                <w:bCs/>
                <w:szCs w:val="21"/>
              </w:rPr>
            </w:pPr>
            <w:r>
              <w:rPr>
                <w:rFonts w:hint="eastAsia" w:ascii="宋体" w:hAnsi="宋体" w:eastAsia="宋体" w:cs="宋体"/>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szCs w:val="21"/>
              </w:rPr>
              <w:t>3</w:t>
            </w:r>
          </w:p>
        </w:tc>
        <w:tc>
          <w:tcPr>
            <w:tcW w:w="3256" w:type="dxa"/>
            <w:vAlign w:val="center"/>
          </w:tcPr>
          <w:p>
            <w:pPr>
              <w:adjustRightInd w:val="0"/>
              <w:snapToGrid w:val="0"/>
              <w:spacing w:line="288" w:lineRule="auto"/>
              <w:jc w:val="left"/>
              <w:rPr>
                <w:rFonts w:ascii="宋体" w:hAnsi="宋体" w:eastAsia="宋体" w:cs="宋体"/>
                <w:b/>
                <w:bCs/>
                <w:szCs w:val="21"/>
              </w:rPr>
            </w:pPr>
            <w:r>
              <w:rPr>
                <w:rFonts w:hint="eastAsia" w:ascii="宋体" w:hAnsi="宋体" w:eastAsia="宋体" w:cs="宋体"/>
                <w:szCs w:val="21"/>
              </w:rPr>
              <w:t>政府优先采购节能、环保产品</w:t>
            </w:r>
          </w:p>
        </w:tc>
        <w:tc>
          <w:tcPr>
            <w:tcW w:w="5529" w:type="dxa"/>
            <w:vAlign w:val="center"/>
          </w:tcPr>
          <w:p>
            <w:pPr>
              <w:adjustRightInd w:val="0"/>
              <w:snapToGrid w:val="0"/>
              <w:spacing w:line="288" w:lineRule="auto"/>
              <w:jc w:val="left"/>
              <w:rPr>
                <w:rFonts w:ascii="宋体" w:hAnsi="宋体" w:eastAsia="宋体" w:cs="宋体"/>
                <w:b/>
                <w:bCs/>
                <w:szCs w:val="21"/>
              </w:rPr>
            </w:pPr>
            <w:r>
              <w:rPr>
                <w:rFonts w:hint="eastAsia" w:ascii="宋体" w:hAnsi="宋体" w:eastAsia="宋体" w:cs="宋体"/>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4</w:t>
            </w:r>
          </w:p>
        </w:tc>
        <w:tc>
          <w:tcPr>
            <w:tcW w:w="3256" w:type="dxa"/>
            <w:vAlign w:val="center"/>
          </w:tcPr>
          <w:p>
            <w:pPr>
              <w:adjustRightInd w:val="0"/>
              <w:snapToGrid w:val="0"/>
              <w:spacing w:line="288" w:lineRule="auto"/>
              <w:jc w:val="left"/>
              <w:rPr>
                <w:rFonts w:ascii="宋体" w:hAnsi="宋体" w:eastAsia="宋体" w:cs="宋体"/>
                <w:szCs w:val="21"/>
              </w:rPr>
            </w:pPr>
            <w:r>
              <w:rPr>
                <w:rFonts w:hint="eastAsia" w:ascii="宋体" w:hAnsi="宋体" w:eastAsia="宋体" w:cs="宋体"/>
                <w:szCs w:val="21"/>
              </w:rPr>
              <w:t>政府采购支持科技创新</w:t>
            </w:r>
          </w:p>
        </w:tc>
        <w:tc>
          <w:tcPr>
            <w:tcW w:w="5529" w:type="dxa"/>
            <w:vAlign w:val="center"/>
          </w:tcPr>
          <w:p>
            <w:pPr>
              <w:adjustRightInd w:val="0"/>
              <w:snapToGrid w:val="0"/>
              <w:spacing w:line="288" w:lineRule="auto"/>
              <w:jc w:val="left"/>
              <w:rPr>
                <w:rFonts w:ascii="宋体" w:hAnsi="宋体" w:eastAsia="宋体" w:cs="宋体"/>
                <w:szCs w:val="21"/>
              </w:rPr>
            </w:pPr>
            <w:r>
              <w:rPr>
                <w:rFonts w:hint="eastAsia" w:ascii="宋体" w:hAnsi="宋体" w:eastAsia="宋体" w:cs="宋体"/>
                <w:szCs w:val="21"/>
              </w:rPr>
              <w:t>提供材料详见招标文件第六章“商务和技术文件”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color w:val="FF0000"/>
                <w:szCs w:val="21"/>
              </w:rPr>
            </w:pPr>
            <w:r>
              <w:rPr>
                <w:rFonts w:hint="eastAsia" w:ascii="宋体" w:hAnsi="宋体" w:eastAsia="宋体" w:cs="宋体"/>
                <w:szCs w:val="21"/>
              </w:rPr>
              <w:t>5</w:t>
            </w:r>
          </w:p>
        </w:tc>
        <w:tc>
          <w:tcPr>
            <w:tcW w:w="3256" w:type="dxa"/>
            <w:vAlign w:val="center"/>
          </w:tcPr>
          <w:p>
            <w:pPr>
              <w:adjustRightInd w:val="0"/>
              <w:snapToGrid w:val="0"/>
              <w:spacing w:line="288" w:lineRule="auto"/>
              <w:jc w:val="left"/>
              <w:rPr>
                <w:rFonts w:ascii="宋体" w:hAnsi="宋体" w:eastAsia="宋体" w:cs="宋体"/>
                <w:color w:val="FF0000"/>
                <w:szCs w:val="21"/>
              </w:rPr>
            </w:pPr>
            <w:r>
              <w:rPr>
                <w:rFonts w:hint="eastAsia" w:ascii="宋体" w:hAnsi="宋体" w:eastAsia="宋体" w:cs="宋体"/>
                <w:szCs w:val="21"/>
              </w:rPr>
              <w:t>政府采购促进中小企业发展</w:t>
            </w:r>
          </w:p>
        </w:tc>
        <w:tc>
          <w:tcPr>
            <w:tcW w:w="5529" w:type="dxa"/>
            <w:vAlign w:val="center"/>
          </w:tcPr>
          <w:p>
            <w:pPr>
              <w:adjustRightInd w:val="0"/>
              <w:snapToGrid w:val="0"/>
              <w:spacing w:line="288" w:lineRule="auto"/>
              <w:jc w:val="left"/>
              <w:rPr>
                <w:rFonts w:ascii="宋体" w:hAnsi="宋体" w:eastAsia="宋体" w:cs="宋体"/>
                <w:szCs w:val="21"/>
              </w:rPr>
            </w:pPr>
            <w:r>
              <w:rPr>
                <w:rFonts w:hint="eastAsia" w:ascii="宋体" w:hAnsi="宋体" w:eastAsia="宋体" w:cs="宋体"/>
                <w:szCs w:val="21"/>
              </w:rPr>
              <w:t>提供材料详见招标文件第六章“报价文件”</w:t>
            </w:r>
          </w:p>
          <w:p>
            <w:pPr>
              <w:adjustRightInd w:val="0"/>
              <w:snapToGrid w:val="0"/>
              <w:spacing w:line="288" w:lineRule="auto"/>
              <w:jc w:val="left"/>
              <w:rPr>
                <w:rFonts w:ascii="宋体" w:hAnsi="宋体" w:eastAsia="宋体" w:cs="Times New Roman"/>
                <w:b/>
                <w:bCs/>
                <w:szCs w:val="21"/>
              </w:rPr>
            </w:pPr>
            <w:r>
              <w:rPr>
                <w:rFonts w:hint="eastAsia" w:ascii="宋体" w:hAnsi="宋体" w:eastAsia="宋体" w:cs="Times New Roman"/>
                <w:b/>
                <w:bCs/>
                <w:szCs w:val="21"/>
              </w:rPr>
              <w:t>本项目属性为：</w:t>
            </w:r>
            <w:r>
              <w:rPr>
                <w:rFonts w:hint="eastAsia" w:ascii="宋体" w:hAnsi="宋体" w:eastAsia="宋体" w:cs="Times New Roman"/>
                <w:b/>
                <w:bCs/>
                <w:color w:val="FF0000"/>
                <w:szCs w:val="21"/>
              </w:rPr>
              <w:t>货物</w:t>
            </w:r>
            <w:r>
              <w:rPr>
                <w:rFonts w:ascii="宋体" w:hAnsi="宋体" w:eastAsia="宋体" w:cs="Times New Roman"/>
                <w:b/>
                <w:bCs/>
                <w:szCs w:val="21"/>
              </w:rPr>
              <w:t xml:space="preserve"> </w:t>
            </w:r>
          </w:p>
          <w:p>
            <w:pPr>
              <w:adjustRightInd w:val="0"/>
              <w:snapToGrid w:val="0"/>
              <w:spacing w:line="288" w:lineRule="auto"/>
              <w:jc w:val="left"/>
              <w:rPr>
                <w:rFonts w:ascii="宋体" w:hAnsi="宋体" w:eastAsia="宋体" w:cs="Times New Roman"/>
                <w:b/>
                <w:bCs/>
                <w:szCs w:val="21"/>
              </w:rPr>
            </w:pPr>
            <w:r>
              <w:rPr>
                <w:rFonts w:hint="eastAsia" w:ascii="宋体" w:hAnsi="宋体" w:eastAsia="宋体" w:cs="Times New Roman"/>
                <w:b/>
                <w:bCs/>
                <w:szCs w:val="21"/>
              </w:rPr>
              <w:t>本项目采购标的：</w:t>
            </w:r>
          </w:p>
          <w:tbl>
            <w:tblPr>
              <w:tblStyle w:val="24"/>
              <w:tblW w:w="5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采购标的</w:t>
                  </w:r>
                </w:p>
              </w:tc>
              <w:tc>
                <w:tcPr>
                  <w:tcW w:w="2651" w:type="dxa"/>
                </w:tcPr>
                <w:p>
                  <w:pPr>
                    <w:adjustRightInd w:val="0"/>
                    <w:snapToGrid w:val="0"/>
                    <w:spacing w:line="288" w:lineRule="auto"/>
                    <w:jc w:val="left"/>
                    <w:rPr>
                      <w:rFonts w:ascii="宋体" w:hAnsi="宋体" w:eastAsia="宋体" w:cs="Times New Roman"/>
                      <w:b/>
                      <w:bCs/>
                      <w:szCs w:val="21"/>
                    </w:rPr>
                  </w:pPr>
                  <w:r>
                    <w:rPr>
                      <w:rFonts w:hint="eastAsia" w:ascii="宋体" w:hAnsi="宋体" w:eastAsia="宋体" w:cs="Times New Roman"/>
                      <w:b/>
                      <w:bCs/>
                      <w:szCs w:val="21"/>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宋体"/>
                      <w:szCs w:val="21"/>
                    </w:rPr>
                    <w:t>VPN</w:t>
                  </w:r>
                </w:p>
              </w:tc>
              <w:tc>
                <w:tcPr>
                  <w:tcW w:w="2651" w:type="dxa"/>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宋体"/>
                      <w:szCs w:val="21"/>
                    </w:rPr>
                    <w:t>身份认证系统</w:t>
                  </w:r>
                </w:p>
              </w:tc>
              <w:tc>
                <w:tcPr>
                  <w:tcW w:w="2651" w:type="dxa"/>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宋体"/>
                      <w:szCs w:val="21"/>
                    </w:rPr>
                    <w:t>交换机（48口1000M/10G上行）</w:t>
                  </w:r>
                </w:p>
              </w:tc>
              <w:tc>
                <w:tcPr>
                  <w:tcW w:w="2651" w:type="dxa"/>
                </w:tcPr>
                <w:p>
                  <w:pPr>
                    <w:adjustRightInd w:val="0"/>
                    <w:snapToGrid w:val="0"/>
                    <w:spacing w:line="288" w:lineRule="auto"/>
                    <w:jc w:val="center"/>
                    <w:rPr>
                      <w:rFonts w:ascii="宋体" w:hAnsi="宋体" w:eastAsia="宋体" w:cs="Times New Roman"/>
                      <w:b/>
                      <w:bCs/>
                      <w:szCs w:val="21"/>
                      <w:highlight w:val="yellow"/>
                    </w:rPr>
                  </w:pPr>
                  <w:r>
                    <w:rPr>
                      <w:rFonts w:hint="eastAsia" w:ascii="宋体" w:hAnsi="宋体" w:eastAsia="宋体" w:cs="Times New Roman"/>
                      <w:b/>
                      <w:bCs/>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宋体"/>
                      <w:szCs w:val="21"/>
                    </w:rPr>
                    <w:t>交换机（24口10G光纤三层）</w:t>
                  </w:r>
                </w:p>
              </w:tc>
              <w:tc>
                <w:tcPr>
                  <w:tcW w:w="2651" w:type="dxa"/>
                </w:tcPr>
                <w:p>
                  <w:pPr>
                    <w:adjustRightInd w:val="0"/>
                    <w:snapToGrid w:val="0"/>
                    <w:spacing w:line="288" w:lineRule="auto"/>
                    <w:jc w:val="center"/>
                    <w:rPr>
                      <w:rFonts w:ascii="宋体" w:hAnsi="宋体" w:eastAsia="宋体" w:cs="Times New Roman"/>
                      <w:b/>
                      <w:bCs/>
                      <w:szCs w:val="21"/>
                      <w:highlight w:val="yellow"/>
                    </w:rPr>
                  </w:pPr>
                  <w:r>
                    <w:rPr>
                      <w:rFonts w:hint="eastAsia" w:ascii="宋体" w:hAnsi="宋体" w:eastAsia="宋体" w:cs="Times New Roman"/>
                      <w:b/>
                      <w:bCs/>
                      <w:szCs w:val="21"/>
                    </w:rPr>
                    <w:t>工业</w:t>
                  </w:r>
                </w:p>
              </w:tc>
            </w:tr>
          </w:tbl>
          <w:p>
            <w:pPr>
              <w:adjustRightInd w:val="0"/>
              <w:snapToGrid w:val="0"/>
              <w:spacing w:line="288" w:lineRule="auto"/>
              <w:jc w:val="left"/>
              <w:rPr>
                <w:rFonts w:ascii="宋体" w:hAnsi="宋体" w:eastAsia="宋体" w:cs="Times New Roman"/>
                <w:b/>
                <w:bCs/>
                <w:szCs w:val="21"/>
              </w:rPr>
            </w:pPr>
          </w:p>
          <w:p>
            <w:pPr>
              <w:adjustRightInd w:val="0"/>
              <w:snapToGrid w:val="0"/>
              <w:spacing w:line="288" w:lineRule="auto"/>
              <w:jc w:val="left"/>
              <w:rPr>
                <w:rFonts w:ascii="宋体" w:hAnsi="宋体" w:eastAsia="宋体" w:cs="Times New Roman"/>
                <w:b/>
                <w:bCs/>
                <w:szCs w:val="21"/>
              </w:rPr>
            </w:pPr>
            <w:r>
              <w:rPr>
                <w:rFonts w:hint="eastAsia" w:ascii="宋体" w:hAnsi="宋体" w:eastAsia="宋体" w:cs="Times New Roman"/>
                <w:b/>
                <w:bCs/>
                <w:szCs w:val="21"/>
              </w:rPr>
              <w:t>中小企业划型标准：</w:t>
            </w:r>
          </w:p>
          <w:p>
            <w:pPr>
              <w:adjustRightInd w:val="0"/>
              <w:snapToGrid w:val="0"/>
              <w:spacing w:line="288" w:lineRule="auto"/>
              <w:jc w:val="left"/>
              <w:rPr>
                <w:rFonts w:ascii="宋体" w:hAnsi="宋体" w:eastAsia="宋体" w:cs="Times New Roman"/>
                <w:szCs w:val="21"/>
              </w:rPr>
            </w:pPr>
            <w:r>
              <w:rPr>
                <w:rFonts w:hint="eastAsia" w:ascii="宋体" w:hAnsi="宋体" w:eastAsia="宋体" w:cs="Times New Roman"/>
                <w:b/>
                <w:bCs/>
                <w:szCs w:val="21"/>
              </w:rPr>
              <w:t>工业。</w:t>
            </w:r>
            <w:r>
              <w:rPr>
                <w:rFonts w:hint="eastAsia" w:ascii="宋体" w:hAnsi="宋体" w:eastAsia="宋体" w:cs="Times New Roman"/>
                <w:szCs w:val="21"/>
              </w:rPr>
              <w:t>从业人员</w:t>
            </w:r>
            <w:r>
              <w:rPr>
                <w:rFonts w:ascii="宋体" w:hAnsi="宋体" w:eastAsia="宋体" w:cs="Times New Roman"/>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Times New Roman"/>
                <w:szCs w:val="21"/>
              </w:rPr>
              <w:t>。</w:t>
            </w:r>
          </w:p>
          <w:p>
            <w:pPr>
              <w:adjustRightInd w:val="0"/>
              <w:snapToGrid w:val="0"/>
              <w:spacing w:line="288" w:lineRule="auto"/>
              <w:jc w:val="left"/>
              <w:rPr>
                <w:rFonts w:ascii="宋体" w:hAnsi="宋体" w:eastAsia="宋体" w:cs="宋体"/>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6</w:t>
            </w:r>
          </w:p>
        </w:tc>
        <w:tc>
          <w:tcPr>
            <w:tcW w:w="3256" w:type="dxa"/>
            <w:vAlign w:val="center"/>
          </w:tcPr>
          <w:p>
            <w:pPr>
              <w:adjustRightInd w:val="0"/>
              <w:snapToGrid w:val="0"/>
              <w:spacing w:line="288" w:lineRule="auto"/>
              <w:jc w:val="left"/>
              <w:rPr>
                <w:rFonts w:ascii="宋体" w:hAnsi="宋体" w:eastAsia="宋体" w:cs="宋体"/>
                <w:szCs w:val="21"/>
              </w:rPr>
            </w:pPr>
            <w:r>
              <w:rPr>
                <w:rFonts w:hint="eastAsia" w:ascii="宋体" w:hAnsi="宋体" w:eastAsia="宋体" w:cs="宋体"/>
                <w:szCs w:val="21"/>
              </w:rPr>
              <w:t>政府采购支持监狱企业发展</w:t>
            </w:r>
          </w:p>
        </w:tc>
        <w:tc>
          <w:tcPr>
            <w:tcW w:w="5529" w:type="dxa"/>
            <w:vAlign w:val="center"/>
          </w:tcPr>
          <w:p>
            <w:pPr>
              <w:adjustRightInd w:val="0"/>
              <w:snapToGrid w:val="0"/>
              <w:spacing w:line="288" w:lineRule="auto"/>
              <w:jc w:val="left"/>
              <w:rPr>
                <w:rFonts w:ascii="宋体" w:hAnsi="宋体" w:eastAsia="宋体" w:cs="Times New Roman"/>
                <w:b/>
                <w:bCs/>
                <w:szCs w:val="21"/>
              </w:rPr>
            </w:pPr>
            <w:r>
              <w:rPr>
                <w:rFonts w:hint="eastAsia" w:ascii="宋体" w:hAnsi="宋体" w:eastAsia="宋体" w:cs="宋体"/>
                <w:szCs w:val="21"/>
              </w:rPr>
              <w:t>提供材料详见招标文件第六章“报价文件”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7</w:t>
            </w:r>
          </w:p>
        </w:tc>
        <w:tc>
          <w:tcPr>
            <w:tcW w:w="3256" w:type="dxa"/>
            <w:vAlign w:val="center"/>
          </w:tcPr>
          <w:p>
            <w:pPr>
              <w:adjustRightInd w:val="0"/>
              <w:snapToGrid w:val="0"/>
              <w:spacing w:line="288" w:lineRule="auto"/>
              <w:jc w:val="left"/>
              <w:rPr>
                <w:rFonts w:ascii="宋体" w:hAnsi="宋体" w:eastAsia="宋体" w:cs="宋体"/>
                <w:szCs w:val="21"/>
              </w:rPr>
            </w:pPr>
            <w:r>
              <w:rPr>
                <w:rFonts w:hint="eastAsia" w:ascii="宋体" w:hAnsi="宋体" w:eastAsia="宋体" w:cs="宋体"/>
                <w:szCs w:val="21"/>
              </w:rPr>
              <w:t>政府采购促进残疾人就业</w:t>
            </w:r>
          </w:p>
        </w:tc>
        <w:tc>
          <w:tcPr>
            <w:tcW w:w="5529" w:type="dxa"/>
            <w:vAlign w:val="center"/>
          </w:tcPr>
          <w:p>
            <w:pPr>
              <w:adjustRightInd w:val="0"/>
              <w:snapToGrid w:val="0"/>
              <w:spacing w:line="288" w:lineRule="auto"/>
              <w:jc w:val="left"/>
              <w:rPr>
                <w:rFonts w:ascii="宋体" w:hAnsi="宋体" w:eastAsia="宋体" w:cs="宋体"/>
                <w:szCs w:val="21"/>
              </w:rPr>
            </w:pPr>
            <w:r>
              <w:rPr>
                <w:rFonts w:hint="eastAsia" w:ascii="宋体" w:hAnsi="宋体" w:eastAsia="宋体" w:cs="宋体"/>
                <w:szCs w:val="21"/>
              </w:rPr>
              <w:t>提供材料详见招标文件第六章“报价文件”</w:t>
            </w:r>
          </w:p>
        </w:tc>
      </w:tr>
      <w:bookmarkEnd w:id="35"/>
    </w:tbl>
    <w:p>
      <w:pPr>
        <w:adjustRightInd w:val="0"/>
        <w:snapToGrid w:val="0"/>
        <w:spacing w:line="288" w:lineRule="auto"/>
        <w:rPr>
          <w:rFonts w:ascii="宋体" w:hAnsi="宋体" w:eastAsia="宋体" w:cs="Times New Roman"/>
          <w:b/>
          <w:spacing w:val="-4"/>
          <w:szCs w:val="21"/>
        </w:rPr>
      </w:pPr>
    </w:p>
    <w:p>
      <w:pPr>
        <w:adjustRightInd w:val="0"/>
        <w:snapToGrid w:val="0"/>
        <w:spacing w:line="288" w:lineRule="auto"/>
        <w:outlineLvl w:val="1"/>
        <w:rPr>
          <w:rFonts w:ascii="宋体" w:hAnsi="宋体" w:eastAsia="宋体" w:cs="Times New Roman"/>
          <w:b/>
          <w:szCs w:val="21"/>
        </w:rPr>
      </w:pPr>
      <w:r>
        <w:rPr>
          <w:rFonts w:hint="eastAsia" w:ascii="宋体" w:hAnsi="宋体" w:eastAsia="宋体" w:cs="Times New Roman"/>
          <w:b/>
          <w:szCs w:val="21"/>
        </w:rPr>
        <w:t>二、采购资金的支付方式、时间、条件</w:t>
      </w:r>
    </w:p>
    <w:tbl>
      <w:tblPr>
        <w:tblStyle w:val="23"/>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spacing w:val="-6"/>
                <w:szCs w:val="21"/>
              </w:rPr>
            </w:pPr>
            <w:bookmarkStart w:id="36" w:name="_Hlk45005608"/>
            <w:r>
              <w:rPr>
                <w:rFonts w:hint="eastAsia" w:ascii="宋体" w:hAnsi="宋体" w:eastAsia="宋体" w:cs="Times New Roman"/>
                <w:b/>
                <w:spacing w:val="-6"/>
                <w:szCs w:val="21"/>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ind w:firstLine="396" w:firstLineChars="200"/>
              <w:rPr>
                <w:rFonts w:ascii="宋体" w:hAnsi="宋体" w:eastAsia="宋体" w:cs="宋体"/>
                <w:spacing w:val="-6"/>
                <w:kern w:val="0"/>
                <w:szCs w:val="21"/>
              </w:rPr>
            </w:pPr>
            <w:r>
              <w:rPr>
                <w:rFonts w:hint="eastAsia" w:ascii="宋体" w:hAnsi="宋体" w:eastAsia="宋体" w:cs="宋体"/>
                <w:spacing w:val="-6"/>
                <w:kern w:val="0"/>
                <w:szCs w:val="21"/>
              </w:rPr>
              <w:t>合同总价的</w:t>
            </w:r>
            <w:r>
              <w:rPr>
                <w:rFonts w:ascii="宋体" w:hAnsi="宋体" w:eastAsia="宋体" w:cs="宋体"/>
                <w:spacing w:val="-6"/>
                <w:kern w:val="0"/>
                <w:szCs w:val="21"/>
              </w:rPr>
              <w:t>1%作为履约保证金，合同签订后五个工作日内由中标人交入采购人账户，在采购人验收合格、确认中标人无违约行为后无息返还给中标人。接受金融机构、担保机构出具的以保函形式提交的履约保证金。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spacing w:val="-6"/>
                <w:szCs w:val="21"/>
              </w:rPr>
            </w:pPr>
            <w:r>
              <w:rPr>
                <w:rFonts w:hint="eastAsia" w:ascii="宋体" w:hAnsi="宋体" w:eastAsia="宋体" w:cs="Times New Roman"/>
                <w:b/>
                <w:spacing w:val="-6"/>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ind w:firstLine="396" w:firstLineChars="200"/>
              <w:jc w:val="left"/>
              <w:rPr>
                <w:rFonts w:ascii="宋体" w:hAnsi="宋体" w:eastAsia="宋体" w:cs="宋体"/>
                <w:spacing w:val="-6"/>
                <w:kern w:val="0"/>
                <w:szCs w:val="21"/>
              </w:rPr>
            </w:pPr>
            <w:r>
              <w:rPr>
                <w:rFonts w:ascii="宋体" w:hAnsi="宋体" w:eastAsia="宋体" w:cs="宋体"/>
                <w:spacing w:val="-6"/>
                <w:kern w:val="0"/>
                <w:szCs w:val="21"/>
              </w:rPr>
              <w:t>1）本项目预付款40%，在收到中标人提供的预付款保函且项目具备实施条件后支付；</w:t>
            </w:r>
          </w:p>
          <w:p>
            <w:pPr>
              <w:autoSpaceDE w:val="0"/>
              <w:autoSpaceDN w:val="0"/>
              <w:adjustRightInd w:val="0"/>
              <w:snapToGrid w:val="0"/>
              <w:spacing w:line="288" w:lineRule="auto"/>
              <w:ind w:firstLine="396" w:firstLineChars="200"/>
              <w:jc w:val="left"/>
              <w:rPr>
                <w:rFonts w:ascii="宋体" w:hAnsi="宋体" w:eastAsia="宋体" w:cs="宋体"/>
                <w:spacing w:val="-6"/>
                <w:kern w:val="0"/>
                <w:szCs w:val="21"/>
              </w:rPr>
            </w:pPr>
            <w:r>
              <w:rPr>
                <w:rFonts w:ascii="宋体" w:hAnsi="宋体" w:eastAsia="宋体" w:cs="宋体"/>
                <w:spacing w:val="-6"/>
                <w:kern w:val="0"/>
                <w:szCs w:val="21"/>
              </w:rPr>
              <w:t>2）货物自中标人送达采购人指定地点，安装调试完毕，经采购人验收合格并正常运行二十个工作日内，在收到中标人开具的正规发票后，采购人在7个工作日内向中标人支付合同总额55%的货款；</w:t>
            </w:r>
          </w:p>
          <w:p>
            <w:pPr>
              <w:autoSpaceDE w:val="0"/>
              <w:autoSpaceDN w:val="0"/>
              <w:adjustRightInd w:val="0"/>
              <w:snapToGrid w:val="0"/>
              <w:spacing w:line="288" w:lineRule="auto"/>
              <w:ind w:firstLine="396" w:firstLineChars="200"/>
              <w:jc w:val="left"/>
              <w:rPr>
                <w:rFonts w:ascii="宋体" w:hAnsi="宋体" w:eastAsia="宋体" w:cs="宋体"/>
                <w:spacing w:val="-6"/>
                <w:kern w:val="0"/>
                <w:szCs w:val="21"/>
              </w:rPr>
            </w:pPr>
            <w:r>
              <w:rPr>
                <w:rFonts w:ascii="宋体" w:hAnsi="宋体" w:eastAsia="宋体" w:cs="宋体"/>
                <w:spacing w:val="-6"/>
                <w:kern w:val="0"/>
                <w:szCs w:val="21"/>
              </w:rPr>
              <w:t>3）剩余合同总额5%的货款，在满足支付条件且收到发票后7个工作日内支付。支付条件：所有产品稳定运行（最长不超过3个月）。</w:t>
            </w:r>
          </w:p>
        </w:tc>
      </w:tr>
      <w:bookmarkEnd w:id="36"/>
    </w:tbl>
    <w:p>
      <w:pPr>
        <w:adjustRightInd w:val="0"/>
        <w:snapToGrid w:val="0"/>
        <w:spacing w:line="288" w:lineRule="auto"/>
        <w:rPr>
          <w:rFonts w:ascii="宋体" w:hAnsi="宋体" w:eastAsia="宋体" w:cs="Times New Roman"/>
          <w:spacing w:val="-4"/>
          <w:szCs w:val="21"/>
        </w:rPr>
      </w:pPr>
    </w:p>
    <w:p>
      <w:pPr>
        <w:adjustRightInd w:val="0"/>
        <w:snapToGrid w:val="0"/>
        <w:spacing w:line="288" w:lineRule="auto"/>
        <w:outlineLvl w:val="1"/>
        <w:rPr>
          <w:rFonts w:ascii="宋体" w:hAnsi="宋体" w:eastAsia="宋体" w:cs="Times New Roman"/>
          <w:b/>
          <w:szCs w:val="21"/>
        </w:rPr>
      </w:pPr>
      <w:r>
        <w:rPr>
          <w:rFonts w:hint="eastAsia" w:ascii="宋体" w:hAnsi="宋体" w:eastAsia="宋体" w:cs="Times New Roman"/>
          <w:b/>
          <w:szCs w:val="21"/>
        </w:rPr>
        <w:t>三、服务要求（技术要求里另有注明的以技术要求为准）</w:t>
      </w:r>
    </w:p>
    <w:tbl>
      <w:tblPr>
        <w:tblStyle w:val="23"/>
        <w:tblW w:w="9498"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highlight w:val="yellow"/>
              </w:rPr>
            </w:pPr>
            <w:r>
              <w:rPr>
                <w:rFonts w:ascii="宋体" w:hAnsi="宋体" w:eastAsia="宋体" w:cs="宋体"/>
                <w:b/>
                <w:bCs/>
                <w:szCs w:val="21"/>
              </w:rPr>
              <w:t>售后服务保障要求</w:t>
            </w:r>
          </w:p>
        </w:tc>
        <w:tc>
          <w:tcPr>
            <w:tcW w:w="7655" w:type="dxa"/>
            <w:tcBorders>
              <w:top w:val="single" w:color="auto" w:sz="4" w:space="0"/>
              <w:left w:val="single" w:color="auto" w:sz="4" w:space="0"/>
              <w:bottom w:val="single" w:color="auto" w:sz="4" w:space="0"/>
              <w:right w:val="single" w:color="auto" w:sz="4" w:space="0"/>
            </w:tcBorders>
            <w:vAlign w:val="center"/>
          </w:tcPr>
          <w:p>
            <w:pPr>
              <w:pStyle w:val="101"/>
              <w:numPr>
                <w:ilvl w:val="1"/>
                <w:numId w:val="2"/>
              </w:numPr>
              <w:spacing w:line="288" w:lineRule="auto"/>
              <w:ind w:firstLine="420" w:firstLineChars="200"/>
              <w:contextualSpacing w:val="0"/>
              <w:jc w:val="left"/>
              <w:rPr>
                <w:rFonts w:ascii="宋体" w:hAnsi="宋体"/>
                <w:sz w:val="21"/>
                <w:szCs w:val="21"/>
              </w:rPr>
            </w:pPr>
            <w:r>
              <w:rPr>
                <w:rFonts w:hint="eastAsia" w:ascii="宋体" w:hAnsi="宋体"/>
                <w:sz w:val="21"/>
                <w:szCs w:val="21"/>
              </w:rPr>
              <w:t xml:space="preserve">货物（设备/软件）验收合格后提供 </w:t>
            </w:r>
            <w:r>
              <w:rPr>
                <w:rFonts w:hint="eastAsia" w:ascii="宋体" w:hAnsi="宋体"/>
                <w:color w:val="44454D"/>
                <w:sz w:val="21"/>
                <w:szCs w:val="21"/>
                <w:u w:val="single"/>
                <w:shd w:val="clear" w:color="auto" w:fill="F3FAFD"/>
              </w:rPr>
              <w:t>≥3</w:t>
            </w:r>
            <w:r>
              <w:rPr>
                <w:rFonts w:hint="eastAsia" w:ascii="宋体" w:hAnsi="宋体"/>
                <w:sz w:val="21"/>
                <w:szCs w:val="21"/>
              </w:rPr>
              <w:t>年质保，质保期内因不能排除的故障而影响工作的情况每发生一次，质保期相应延长60天，质保期内因设备本身缺陷造成各种故障应由卖方免费技术服务和维修，若技术需求中有质保要求，以技术需求为准。</w:t>
            </w:r>
          </w:p>
          <w:p>
            <w:pPr>
              <w:pStyle w:val="101"/>
              <w:numPr>
                <w:ilvl w:val="1"/>
                <w:numId w:val="2"/>
              </w:numPr>
              <w:spacing w:line="288" w:lineRule="auto"/>
              <w:ind w:firstLine="420" w:firstLineChars="200"/>
              <w:contextualSpacing w:val="0"/>
              <w:jc w:val="left"/>
              <w:rPr>
                <w:rFonts w:ascii="宋体" w:hAnsi="宋体"/>
                <w:sz w:val="21"/>
                <w:szCs w:val="21"/>
              </w:rPr>
            </w:pPr>
            <w:r>
              <w:rPr>
                <w:rFonts w:hint="eastAsia" w:ascii="宋体" w:hAnsi="宋体"/>
                <w:sz w:val="21"/>
                <w:szCs w:val="21"/>
              </w:rPr>
              <w:t>货物（设备）质保期内非人为因素出现的质量问题，须按国家有关规定和要求（如无国家规定和要求的，按承诺和厂方“三包”规定）立即进行免费维修、免费更换有缺陷的零部件、直至免费更换新货物。质保期外发生的损坏，负责设备的终身维修，修理和换件应按成本费收取，不再收取其它费用。</w:t>
            </w:r>
          </w:p>
          <w:p>
            <w:pPr>
              <w:pStyle w:val="101"/>
              <w:numPr>
                <w:ilvl w:val="1"/>
                <w:numId w:val="2"/>
              </w:numPr>
              <w:spacing w:line="288" w:lineRule="auto"/>
              <w:ind w:firstLine="420" w:firstLineChars="200"/>
              <w:contextualSpacing w:val="0"/>
              <w:jc w:val="left"/>
              <w:rPr>
                <w:rFonts w:ascii="宋体" w:hAnsi="宋体"/>
                <w:sz w:val="21"/>
                <w:szCs w:val="21"/>
              </w:rPr>
            </w:pPr>
            <w:r>
              <w:rPr>
                <w:rFonts w:hint="eastAsia" w:ascii="宋体" w:hAnsi="宋体"/>
                <w:sz w:val="21"/>
                <w:szCs w:val="21"/>
              </w:rPr>
              <w:t>货物（设备/软件）发生故障接到用户维修要求后，投标人应承诺在</w:t>
            </w:r>
            <w:r>
              <w:rPr>
                <w:rFonts w:hint="eastAsia" w:ascii="宋体" w:hAnsi="宋体"/>
                <w:sz w:val="21"/>
                <w:szCs w:val="21"/>
                <w:u w:val="single"/>
              </w:rPr>
              <w:t>1</w:t>
            </w:r>
            <w:r>
              <w:rPr>
                <w:rFonts w:hint="eastAsia" w:ascii="宋体" w:hAnsi="宋体"/>
                <w:sz w:val="21"/>
                <w:szCs w:val="21"/>
              </w:rPr>
              <w:t>小时内响应并提出解决方案，</w:t>
            </w:r>
            <w:r>
              <w:rPr>
                <w:rFonts w:hint="eastAsia" w:ascii="宋体" w:hAnsi="宋体"/>
                <w:sz w:val="21"/>
                <w:szCs w:val="21"/>
                <w:u w:val="single"/>
              </w:rPr>
              <w:t>8</w:t>
            </w:r>
            <w:r>
              <w:rPr>
                <w:rFonts w:hint="eastAsia" w:ascii="宋体" w:hAnsi="宋体"/>
                <w:sz w:val="21"/>
                <w:szCs w:val="21"/>
              </w:rPr>
              <w:t>小时内到现场进行故障处理，维修过程中所需材料在接到通知后应及时提供，最多不超过</w:t>
            </w:r>
            <w:r>
              <w:rPr>
                <w:rFonts w:hint="eastAsia" w:ascii="宋体" w:hAnsi="宋体"/>
                <w:sz w:val="21"/>
                <w:szCs w:val="21"/>
                <w:u w:val="single"/>
              </w:rPr>
              <w:t>12</w:t>
            </w:r>
            <w:r>
              <w:rPr>
                <w:rFonts w:hint="eastAsia" w:ascii="宋体" w:hAnsi="宋体"/>
                <w:sz w:val="21"/>
                <w:szCs w:val="21"/>
              </w:rPr>
              <w:t>小时。若（设备）短期无法修复，应提供相应备件并负责安装调试。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ascii="宋体" w:hAnsi="宋体" w:eastAsia="宋体" w:cs="宋体"/>
                <w:b/>
                <w:bCs/>
                <w:szCs w:val="21"/>
              </w:rPr>
              <w:t>培训</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供应商应对采购人的操作人员、维修人员免费进行培训；</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供应商应提供相应的培训计划；</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上述内容的实现方式、时间、地点、人数应在投标文件中详细说明。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交货时间及地点</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u w:val="single"/>
              </w:rPr>
            </w:pPr>
            <w:r>
              <w:rPr>
                <w:rFonts w:ascii="宋体" w:hAnsi="宋体" w:eastAsia="宋体" w:cs="宋体"/>
                <w:szCs w:val="21"/>
                <w:u w:val="single"/>
              </w:rPr>
              <w:t>1)交货时间：合同签订后30日历日内完成供货、安装、调试。</w:t>
            </w:r>
          </w:p>
          <w:p>
            <w:pPr>
              <w:adjustRightInd w:val="0"/>
              <w:snapToGrid w:val="0"/>
              <w:spacing w:line="288" w:lineRule="auto"/>
              <w:rPr>
                <w:rFonts w:ascii="宋体" w:hAnsi="宋体" w:eastAsia="宋体" w:cs="宋体"/>
                <w:szCs w:val="21"/>
                <w:u w:val="single"/>
              </w:rPr>
            </w:pPr>
            <w:r>
              <w:rPr>
                <w:rFonts w:ascii="宋体" w:hAnsi="宋体" w:eastAsia="宋体" w:cs="宋体"/>
                <w:szCs w:val="21"/>
                <w:u w:val="single"/>
              </w:rPr>
              <w:t>2)地点：浙江机电职业技术学院滨江校区以及海宁校区数据中心机房。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验收标准</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1.验收由采购人负责实施；</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2.验收依据：</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2.1合同、招标文件、投标文件；</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2.2供应商提供的技术规格、经采购人认可的合同货物的有效检验文件；</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2.3供应商投标文件中提供的经采购人认可的合同货物的验收标准（符合中国有关的国家、地方、行业标准）和检测办法及相应检测手段。</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3.供应商应派员在所供货物到采购人处时进行到货验收，有需要时能联系产品制造商到场共同验收，若发现任何损坏及质量问题，供应商负责妥善处理直至采购人满意，由此产生的费用由供应商承担。</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4.验收合格的条件：</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4.1所供货物符合产品标准和合同的要求；</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4.2在进行测试和验收过程中发现的问题已被解决并得到采购人的认可；</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4.3合同中规定的所有货物和材料均已交付；</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4.4所供货物已通过使用单位组织的验收；</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4.5所有相关的技术文件及资料均已提交并得到接受。</w:t>
            </w:r>
          </w:p>
        </w:tc>
      </w:tr>
    </w:tbl>
    <w:p>
      <w:pPr>
        <w:adjustRightInd w:val="0"/>
        <w:snapToGrid w:val="0"/>
        <w:spacing w:line="288" w:lineRule="auto"/>
        <w:rPr>
          <w:rFonts w:ascii="宋体" w:hAnsi="宋体" w:eastAsia="宋体" w:cs="Times New Roman"/>
          <w:b/>
          <w:szCs w:val="21"/>
        </w:rPr>
      </w:pPr>
    </w:p>
    <w:p>
      <w:pPr>
        <w:adjustRightInd w:val="0"/>
        <w:snapToGrid w:val="0"/>
        <w:spacing w:line="288" w:lineRule="auto"/>
        <w:outlineLvl w:val="1"/>
        <w:rPr>
          <w:rFonts w:ascii="宋体" w:hAnsi="宋体" w:eastAsia="宋体" w:cs="Times New Roman"/>
          <w:b/>
          <w:szCs w:val="21"/>
        </w:rPr>
      </w:pPr>
      <w:r>
        <w:rPr>
          <w:rFonts w:hint="eastAsia" w:ascii="宋体" w:hAnsi="宋体" w:eastAsia="宋体" w:cs="Times New Roman"/>
          <w:b/>
          <w:szCs w:val="21"/>
        </w:rPr>
        <w:t>四、技术要求</w:t>
      </w:r>
    </w:p>
    <w:p>
      <w:pPr>
        <w:adjustRightInd w:val="0"/>
        <w:snapToGrid w:val="0"/>
        <w:spacing w:line="288" w:lineRule="auto"/>
        <w:rPr>
          <w:rFonts w:ascii="宋体" w:hAnsi="宋体" w:eastAsia="宋体" w:cs="宋体"/>
          <w:b/>
          <w:bCs/>
          <w:szCs w:val="21"/>
        </w:rPr>
      </w:pPr>
      <w:bookmarkStart w:id="37" w:name="_Hlk92271413"/>
      <w:r>
        <w:rPr>
          <w:rFonts w:hint="eastAsia" w:ascii="宋体" w:hAnsi="宋体" w:eastAsia="宋体" w:cs="宋体"/>
          <w:b/>
          <w:bCs/>
          <w:szCs w:val="21"/>
        </w:rPr>
        <w:t>（一）需执行的国家相关标准、行业标准、地方标准或者其他标准、规范：</w:t>
      </w:r>
      <w:bookmarkStart w:id="38" w:name="_Hlk94018176"/>
      <w:r>
        <w:rPr>
          <w:rFonts w:hint="eastAsia" w:ascii="宋体" w:hAnsi="宋体" w:eastAsia="宋体" w:cs="宋体"/>
          <w:szCs w:val="21"/>
        </w:rPr>
        <w:t>如技术要求中未注明需执行的国家相关标准、行业标准、地方标准或者其他标准、规范的，执行最新标准、规范。</w:t>
      </w:r>
      <w:bookmarkEnd w:id="38"/>
    </w:p>
    <w:bookmarkEnd w:id="37"/>
    <w:p>
      <w:pPr>
        <w:adjustRightInd w:val="0"/>
        <w:snapToGrid w:val="0"/>
        <w:spacing w:line="288" w:lineRule="auto"/>
        <w:rPr>
          <w:rFonts w:ascii="宋体" w:hAnsi="宋体" w:eastAsia="宋体" w:cs="宋体"/>
          <w:b/>
          <w:bCs/>
          <w:szCs w:val="21"/>
        </w:rPr>
      </w:pPr>
      <w:r>
        <w:rPr>
          <w:rFonts w:hint="eastAsia" w:ascii="宋体" w:hAnsi="宋体" w:eastAsia="宋体" w:cs="宋体"/>
          <w:b/>
          <w:bCs/>
          <w:szCs w:val="21"/>
        </w:rPr>
        <w:t>（二）需实现的功能或者目标：满足两校区交换机更新与安全性能提升采购要求</w:t>
      </w:r>
    </w:p>
    <w:p>
      <w:pPr>
        <w:adjustRightInd w:val="0"/>
        <w:snapToGrid w:val="0"/>
        <w:spacing w:line="288" w:lineRule="auto"/>
        <w:rPr>
          <w:rFonts w:ascii="宋体" w:hAnsi="宋体" w:eastAsia="宋体" w:cs="Times New Roman"/>
          <w:b/>
          <w:bCs/>
          <w:spacing w:val="-4"/>
          <w:szCs w:val="21"/>
        </w:rPr>
      </w:pPr>
      <w:r>
        <w:rPr>
          <w:rFonts w:hint="eastAsia" w:ascii="宋体" w:hAnsi="宋体" w:eastAsia="宋体" w:cs="宋体"/>
          <w:b/>
          <w:bCs/>
          <w:szCs w:val="21"/>
        </w:rPr>
        <w:t>（三）</w:t>
      </w:r>
      <w:r>
        <w:rPr>
          <w:rFonts w:hint="eastAsia" w:ascii="宋体" w:hAnsi="宋体" w:eastAsia="宋体" w:cs="Times New Roman"/>
          <w:b/>
          <w:bCs/>
          <w:spacing w:val="-4"/>
          <w:szCs w:val="21"/>
        </w:rPr>
        <w:t>需满足的质量、安全、技术规格、物理特性等要求：</w:t>
      </w:r>
    </w:p>
    <w:p>
      <w:pPr>
        <w:adjustRightInd w:val="0"/>
        <w:snapToGrid w:val="0"/>
        <w:spacing w:line="288" w:lineRule="auto"/>
        <w:outlineLvl w:val="2"/>
        <w:rPr>
          <w:rFonts w:ascii="宋体" w:hAnsi="宋体" w:eastAsia="宋体" w:cs="Times New Roman"/>
          <w:b/>
          <w:bCs/>
          <w:spacing w:val="-4"/>
          <w:szCs w:val="21"/>
        </w:rPr>
      </w:pPr>
      <w:r>
        <w:rPr>
          <w:rFonts w:hint="eastAsia" w:ascii="宋体" w:hAnsi="宋体" w:eastAsia="宋体" w:cs="Times New Roman"/>
          <w:b/>
          <w:bCs/>
          <w:spacing w:val="-4"/>
          <w:szCs w:val="21"/>
        </w:rPr>
        <w:t>1</w:t>
      </w:r>
      <w:r>
        <w:rPr>
          <w:rFonts w:ascii="宋体" w:hAnsi="宋体" w:eastAsia="宋体" w:cs="Times New Roman"/>
          <w:b/>
          <w:bCs/>
          <w:spacing w:val="-4"/>
          <w:szCs w:val="21"/>
        </w:rPr>
        <w:t>.</w:t>
      </w:r>
      <w:r>
        <w:rPr>
          <w:rFonts w:hint="eastAsia" w:ascii="宋体" w:hAnsi="宋体" w:eastAsia="宋体" w:cs="Times New Roman"/>
          <w:b/>
          <w:bCs/>
          <w:spacing w:val="-4"/>
          <w:szCs w:val="21"/>
        </w:rPr>
        <w:t>采购清单</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3890"/>
        <w:gridCol w:w="1030"/>
        <w:gridCol w:w="1048"/>
        <w:gridCol w:w="1048"/>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序号</w:t>
            </w:r>
          </w:p>
        </w:tc>
        <w:tc>
          <w:tcPr>
            <w:tcW w:w="2020" w:type="pct"/>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名称</w:t>
            </w:r>
          </w:p>
        </w:tc>
        <w:tc>
          <w:tcPr>
            <w:tcW w:w="535" w:type="pct"/>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数量</w:t>
            </w:r>
          </w:p>
        </w:tc>
        <w:tc>
          <w:tcPr>
            <w:tcW w:w="544" w:type="pct"/>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单位</w:t>
            </w:r>
          </w:p>
        </w:tc>
        <w:tc>
          <w:tcPr>
            <w:tcW w:w="544" w:type="pct"/>
            <w:vAlign w:val="center"/>
          </w:tcPr>
          <w:p>
            <w:pPr>
              <w:jc w:val="center"/>
              <w:rPr>
                <w:rFonts w:asciiTheme="minorEastAsia" w:hAnsiTheme="minorEastAsia"/>
                <w:b/>
                <w:szCs w:val="21"/>
              </w:rPr>
            </w:pPr>
            <w:r>
              <w:rPr>
                <w:rFonts w:hint="eastAsia" w:asciiTheme="minorEastAsia" w:hAnsiTheme="minorEastAsia"/>
                <w:b/>
                <w:szCs w:val="21"/>
              </w:rPr>
              <w:t>单价最高限价</w:t>
            </w:r>
          </w:p>
          <w:p>
            <w:pPr>
              <w:jc w:val="center"/>
              <w:rPr>
                <w:rFonts w:asciiTheme="minorEastAsia" w:hAnsiTheme="minorEastAsia"/>
                <w:b/>
                <w:szCs w:val="21"/>
              </w:rPr>
            </w:pPr>
            <w:r>
              <w:rPr>
                <w:rFonts w:hint="eastAsia" w:asciiTheme="minorEastAsia" w:hAnsiTheme="minorEastAsia"/>
                <w:b/>
                <w:szCs w:val="21"/>
              </w:rPr>
              <w:t>（元）</w:t>
            </w:r>
          </w:p>
        </w:tc>
        <w:tc>
          <w:tcPr>
            <w:tcW w:w="926" w:type="pct"/>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w:t>
            </w:r>
          </w:p>
        </w:tc>
        <w:tc>
          <w:tcPr>
            <w:tcW w:w="2020" w:type="pct"/>
            <w:vAlign w:val="center"/>
          </w:tcPr>
          <w:p>
            <w:pPr>
              <w:adjustRightInd w:val="0"/>
              <w:snapToGrid w:val="0"/>
              <w:spacing w:line="288" w:lineRule="auto"/>
              <w:jc w:val="center"/>
              <w:rPr>
                <w:rFonts w:ascii="宋体" w:hAnsi="宋体" w:eastAsia="宋体" w:cs="Times New Roman"/>
                <w:szCs w:val="21"/>
              </w:rPr>
            </w:pPr>
            <w:r>
              <w:rPr>
                <w:rFonts w:hint="eastAsia" w:ascii="宋体" w:hAnsi="宋体" w:eastAsia="宋体" w:cs="宋体"/>
                <w:szCs w:val="21"/>
              </w:rPr>
              <w:t>VPN</w:t>
            </w:r>
          </w:p>
        </w:tc>
        <w:tc>
          <w:tcPr>
            <w:tcW w:w="535"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w:t>
            </w:r>
          </w:p>
        </w:tc>
        <w:tc>
          <w:tcPr>
            <w:tcW w:w="544"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套</w:t>
            </w:r>
          </w:p>
        </w:tc>
        <w:tc>
          <w:tcPr>
            <w:tcW w:w="544" w:type="pct"/>
            <w:vAlign w:val="center"/>
          </w:tcPr>
          <w:p>
            <w:pPr>
              <w:spacing w:line="300" w:lineRule="auto"/>
              <w:jc w:val="center"/>
              <w:rPr>
                <w:rFonts w:ascii="宋体" w:hAnsi="宋体" w:eastAsia="宋体" w:cs="宋体"/>
                <w:szCs w:val="21"/>
              </w:rPr>
            </w:pPr>
            <w:r>
              <w:rPr>
                <w:rFonts w:hint="eastAsia" w:ascii="宋体" w:hAnsi="宋体" w:eastAsia="宋体" w:cs="宋体"/>
                <w:szCs w:val="21"/>
              </w:rPr>
              <w:t>300000</w:t>
            </w:r>
          </w:p>
        </w:tc>
        <w:tc>
          <w:tcPr>
            <w:tcW w:w="926" w:type="pct"/>
            <w:vAlign w:val="center"/>
          </w:tcPr>
          <w:p>
            <w:pPr>
              <w:spacing w:line="300" w:lineRule="auto"/>
              <w:jc w:val="center"/>
              <w:rPr>
                <w:rFonts w:ascii="宋体" w:hAnsi="宋体" w:eastAsia="宋体" w:cs="宋体"/>
                <w:szCs w:val="21"/>
              </w:rPr>
            </w:pPr>
            <w:r>
              <w:rPr>
                <w:rFonts w:hint="eastAsia" w:ascii="宋体" w:hAnsi="宋体" w:eastAsia="宋体" w:cs="宋体"/>
                <w:szCs w:val="21"/>
              </w:rPr>
              <w:t>海宁校区数据中心机房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2</w:t>
            </w:r>
          </w:p>
        </w:tc>
        <w:tc>
          <w:tcPr>
            <w:tcW w:w="2020" w:type="pct"/>
            <w:vAlign w:val="center"/>
          </w:tcPr>
          <w:p>
            <w:pPr>
              <w:adjustRightInd w:val="0"/>
              <w:snapToGrid w:val="0"/>
              <w:spacing w:line="288" w:lineRule="auto"/>
              <w:jc w:val="center"/>
              <w:rPr>
                <w:rFonts w:ascii="宋体" w:hAnsi="宋体" w:cs="Times New Roman"/>
                <w:szCs w:val="21"/>
              </w:rPr>
            </w:pPr>
            <w:r>
              <w:rPr>
                <w:rFonts w:hint="eastAsia" w:ascii="宋体" w:hAnsi="宋体" w:eastAsia="宋体" w:cs="宋体"/>
                <w:szCs w:val="21"/>
              </w:rPr>
              <w:t>身份认证系统</w:t>
            </w:r>
            <w:r>
              <w:rPr>
                <w:rStyle w:val="32"/>
                <w:rFonts w:hint="eastAsia"/>
              </w:rPr>
              <w:t>（核心产品）</w:t>
            </w:r>
          </w:p>
        </w:tc>
        <w:tc>
          <w:tcPr>
            <w:tcW w:w="535"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2</w:t>
            </w:r>
          </w:p>
        </w:tc>
        <w:tc>
          <w:tcPr>
            <w:tcW w:w="544"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台</w:t>
            </w:r>
          </w:p>
        </w:tc>
        <w:tc>
          <w:tcPr>
            <w:tcW w:w="544" w:type="pct"/>
            <w:vAlign w:val="center"/>
          </w:tcPr>
          <w:p>
            <w:pPr>
              <w:spacing w:line="300" w:lineRule="auto"/>
              <w:jc w:val="center"/>
              <w:rPr>
                <w:rFonts w:ascii="宋体" w:hAnsi="宋体" w:eastAsia="宋体" w:cs="宋体"/>
                <w:szCs w:val="21"/>
              </w:rPr>
            </w:pPr>
            <w:r>
              <w:rPr>
                <w:rFonts w:hint="eastAsia" w:ascii="宋体" w:hAnsi="宋体" w:eastAsia="宋体" w:cs="宋体"/>
                <w:szCs w:val="21"/>
              </w:rPr>
              <w:t>300000</w:t>
            </w:r>
          </w:p>
        </w:tc>
        <w:tc>
          <w:tcPr>
            <w:tcW w:w="926" w:type="pct"/>
            <w:vAlign w:val="center"/>
          </w:tcPr>
          <w:p>
            <w:pPr>
              <w:spacing w:line="300" w:lineRule="auto"/>
              <w:jc w:val="center"/>
              <w:rPr>
                <w:rFonts w:ascii="宋体" w:hAnsi="宋体" w:eastAsia="宋体" w:cs="宋体"/>
                <w:szCs w:val="21"/>
              </w:rPr>
            </w:pPr>
            <w:r>
              <w:rPr>
                <w:rFonts w:hint="eastAsia" w:ascii="宋体" w:hAnsi="宋体" w:eastAsia="宋体" w:cs="宋体"/>
                <w:szCs w:val="21"/>
              </w:rPr>
              <w:t>海宁校区数据中心机房、滨江校区数据中心机房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3</w:t>
            </w:r>
          </w:p>
        </w:tc>
        <w:tc>
          <w:tcPr>
            <w:tcW w:w="2020" w:type="pct"/>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宋体"/>
                <w:szCs w:val="21"/>
              </w:rPr>
              <w:t>交换机（48口1000M/10G上行）</w:t>
            </w:r>
          </w:p>
        </w:tc>
        <w:tc>
          <w:tcPr>
            <w:tcW w:w="535"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10</w:t>
            </w:r>
          </w:p>
        </w:tc>
        <w:tc>
          <w:tcPr>
            <w:tcW w:w="544"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台</w:t>
            </w:r>
          </w:p>
        </w:tc>
        <w:tc>
          <w:tcPr>
            <w:tcW w:w="544" w:type="pct"/>
            <w:vAlign w:val="center"/>
          </w:tcPr>
          <w:p>
            <w:pPr>
              <w:spacing w:line="300" w:lineRule="auto"/>
              <w:jc w:val="center"/>
              <w:rPr>
                <w:rFonts w:ascii="宋体" w:hAnsi="宋体" w:eastAsia="宋体" w:cs="宋体"/>
                <w:szCs w:val="21"/>
              </w:rPr>
            </w:pPr>
            <w:r>
              <w:rPr>
                <w:rFonts w:hint="eastAsia" w:ascii="宋体" w:hAnsi="宋体" w:eastAsia="宋体" w:cs="宋体"/>
                <w:szCs w:val="21"/>
              </w:rPr>
              <w:t>6000</w:t>
            </w:r>
          </w:p>
        </w:tc>
        <w:tc>
          <w:tcPr>
            <w:tcW w:w="926" w:type="pct"/>
            <w:vAlign w:val="center"/>
          </w:tcPr>
          <w:p>
            <w:pPr>
              <w:spacing w:line="300" w:lineRule="auto"/>
              <w:jc w:val="center"/>
              <w:rPr>
                <w:rFonts w:ascii="宋体" w:hAnsi="宋体" w:eastAsia="宋体" w:cs="宋体"/>
                <w:color w:val="000000"/>
                <w:kern w:val="0"/>
                <w:szCs w:val="21"/>
              </w:rPr>
            </w:pPr>
            <w:r>
              <w:rPr>
                <w:rFonts w:hint="eastAsia" w:ascii="宋体" w:hAnsi="宋体" w:eastAsia="宋体" w:cs="宋体"/>
                <w:szCs w:val="21"/>
              </w:rPr>
              <w:t>海宁校区数据中心机房、滨江校区数据中心机房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4</w:t>
            </w:r>
          </w:p>
        </w:tc>
        <w:tc>
          <w:tcPr>
            <w:tcW w:w="2020" w:type="pct"/>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宋体"/>
                <w:szCs w:val="21"/>
              </w:rPr>
              <w:t>交换机（24口10G光纤三层）</w:t>
            </w:r>
          </w:p>
        </w:tc>
        <w:tc>
          <w:tcPr>
            <w:tcW w:w="535"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4</w:t>
            </w:r>
          </w:p>
        </w:tc>
        <w:tc>
          <w:tcPr>
            <w:tcW w:w="544" w:type="pct"/>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台</w:t>
            </w:r>
          </w:p>
        </w:tc>
        <w:tc>
          <w:tcPr>
            <w:tcW w:w="544" w:type="pct"/>
            <w:vAlign w:val="center"/>
          </w:tcPr>
          <w:p>
            <w:pPr>
              <w:spacing w:line="300" w:lineRule="auto"/>
              <w:jc w:val="center"/>
              <w:rPr>
                <w:rFonts w:ascii="宋体" w:hAnsi="宋体" w:eastAsia="宋体" w:cs="宋体"/>
                <w:szCs w:val="21"/>
              </w:rPr>
            </w:pPr>
            <w:r>
              <w:rPr>
                <w:rFonts w:hint="eastAsia" w:ascii="宋体" w:hAnsi="宋体" w:eastAsia="宋体" w:cs="宋体"/>
                <w:szCs w:val="21"/>
              </w:rPr>
              <w:t>10000</w:t>
            </w:r>
          </w:p>
        </w:tc>
        <w:tc>
          <w:tcPr>
            <w:tcW w:w="926" w:type="pct"/>
            <w:vAlign w:val="center"/>
          </w:tcPr>
          <w:p>
            <w:pPr>
              <w:spacing w:line="300" w:lineRule="auto"/>
              <w:jc w:val="center"/>
              <w:rPr>
                <w:rFonts w:ascii="宋体" w:hAnsi="宋体" w:eastAsia="宋体" w:cs="宋体"/>
                <w:szCs w:val="21"/>
              </w:rPr>
            </w:pPr>
            <w:r>
              <w:rPr>
                <w:rFonts w:hint="eastAsia" w:ascii="宋体" w:hAnsi="宋体" w:eastAsia="宋体" w:cs="宋体"/>
                <w:szCs w:val="21"/>
              </w:rPr>
              <w:t>海宁校区数据中心机房、滨江校区数据中心机房</w:t>
            </w:r>
          </w:p>
        </w:tc>
      </w:tr>
    </w:tbl>
    <w:p>
      <w:pPr>
        <w:adjustRightInd w:val="0"/>
        <w:snapToGrid w:val="0"/>
        <w:spacing w:line="288" w:lineRule="auto"/>
        <w:outlineLvl w:val="2"/>
        <w:rPr>
          <w:rFonts w:ascii="宋体" w:hAnsi="宋体" w:eastAsia="宋体" w:cs="Times New Roman"/>
          <w:b/>
          <w:bCs/>
          <w:spacing w:val="-4"/>
          <w:szCs w:val="21"/>
        </w:rPr>
      </w:pPr>
      <w:r>
        <w:rPr>
          <w:rFonts w:hint="eastAsia" w:ascii="宋体" w:hAnsi="宋体" w:eastAsia="宋体" w:cs="Times New Roman"/>
          <w:b/>
          <w:bCs/>
          <w:spacing w:val="-4"/>
          <w:szCs w:val="21"/>
        </w:rPr>
        <w:t>2</w:t>
      </w:r>
      <w:r>
        <w:rPr>
          <w:rFonts w:ascii="宋体" w:hAnsi="宋体" w:eastAsia="宋体" w:cs="Times New Roman"/>
          <w:b/>
          <w:bCs/>
          <w:spacing w:val="-4"/>
          <w:szCs w:val="21"/>
        </w:rPr>
        <w:t>.</w:t>
      </w:r>
      <w:r>
        <w:rPr>
          <w:rFonts w:hint="eastAsia" w:ascii="宋体" w:hAnsi="宋体" w:eastAsia="宋体" w:cs="Times New Roman"/>
          <w:b/>
          <w:bCs/>
          <w:spacing w:val="-4"/>
          <w:szCs w:val="21"/>
        </w:rPr>
        <w:t>（功能或者目标）、质量、安全、技术规格、物理特性等要求</w:t>
      </w:r>
    </w:p>
    <w:p>
      <w:pPr>
        <w:numPr>
          <w:ilvl w:val="0"/>
          <w:numId w:val="3"/>
        </w:numPr>
        <w:spacing w:line="288" w:lineRule="auto"/>
        <w:jc w:val="left"/>
        <w:outlineLvl w:val="3"/>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VPN</w:t>
      </w:r>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2285"/>
        <w:gridCol w:w="951"/>
        <w:gridCol w:w="6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354" w:type="pct"/>
            <w:shd w:val="clear" w:color="auto" w:fill="auto"/>
            <w:noWrap/>
            <w:vAlign w:val="center"/>
          </w:tcPr>
          <w:p>
            <w:pPr>
              <w:widowControl/>
              <w:spacing w:line="288" w:lineRule="auto"/>
              <w:jc w:val="center"/>
              <w:textAlignment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项目</w:t>
            </w:r>
          </w:p>
        </w:tc>
        <w:tc>
          <w:tcPr>
            <w:tcW w:w="160" w:type="pct"/>
            <w:shd w:val="clear" w:color="auto" w:fill="auto"/>
            <w:noWrap/>
            <w:vAlign w:val="center"/>
          </w:tcPr>
          <w:p>
            <w:pPr>
              <w:widowControl/>
              <w:spacing w:line="288" w:lineRule="auto"/>
              <w:jc w:val="center"/>
              <w:textAlignment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指标</w:t>
            </w:r>
          </w:p>
        </w:tc>
        <w:tc>
          <w:tcPr>
            <w:tcW w:w="3485" w:type="pct"/>
            <w:shd w:val="clear" w:color="auto" w:fill="auto"/>
            <w:noWrap/>
            <w:vAlign w:val="center"/>
          </w:tcPr>
          <w:p>
            <w:pPr>
              <w:widowControl/>
              <w:spacing w:line="288" w:lineRule="auto"/>
              <w:jc w:val="center"/>
              <w:textAlignment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1354" w:type="pct"/>
            <w:vMerge w:val="restart"/>
            <w:shd w:val="clear" w:color="auto" w:fill="FFFFFF"/>
            <w:vAlign w:val="center"/>
          </w:tcPr>
          <w:p>
            <w:pPr>
              <w:widowControl/>
              <w:spacing w:line="288" w:lineRule="auto"/>
              <w:jc w:val="center"/>
              <w:textAlignment w:val="center"/>
              <w:rPr>
                <w:rFonts w:ascii="宋体" w:hAnsi="宋体" w:eastAsia="宋体" w:cs="微软雅黑"/>
                <w:color w:val="000000" w:themeColor="text1"/>
                <w:kern w:val="0"/>
                <w:szCs w:val="21"/>
                <w:lang w:bidi="ar"/>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配置</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部署模式</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所投零信任VPN远程访问控制系统，需支持控制中心及代理网关分离部署。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1354" w:type="pct"/>
            <w:vMerge w:val="continue"/>
            <w:shd w:val="clear" w:color="auto" w:fill="FFFFFF"/>
            <w:vAlign w:val="center"/>
          </w:tcPr>
          <w:p>
            <w:pPr>
              <w:widowControl/>
              <w:spacing w:line="288" w:lineRule="auto"/>
              <w:jc w:val="center"/>
              <w:textAlignment w:val="center"/>
              <w:rPr>
                <w:rFonts w:ascii="宋体" w:hAnsi="宋体" w:eastAsia="宋体" w:cs="微软雅黑"/>
                <w:color w:val="000000" w:themeColor="text1"/>
                <w:kern w:val="0"/>
                <w:szCs w:val="21"/>
                <w:lang w:bidi="ar"/>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零信任控制中心指标</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性能参数：本次接入并发授权数≥2000个。设备最大支持并发用户数（个）≥4000，新建用户数（个/秒）≥110。硬件参数：规格：1U，内存大小≥16G，硬盘容量≥128G SSD，电源：冗余电源，接口：≥6千兆电口+4千兆光口SFP。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1354" w:type="pct"/>
            <w:vMerge w:val="continue"/>
            <w:shd w:val="clear" w:color="auto" w:fill="FFFFFF"/>
            <w:vAlign w:val="center"/>
          </w:tcPr>
          <w:p>
            <w:pPr>
              <w:widowControl/>
              <w:spacing w:line="288" w:lineRule="auto"/>
              <w:jc w:val="center"/>
              <w:textAlignment w:val="center"/>
              <w:rPr>
                <w:rFonts w:ascii="宋体" w:hAnsi="宋体" w:eastAsia="宋体" w:cs="微软雅黑"/>
                <w:color w:val="000000" w:themeColor="text1"/>
                <w:kern w:val="0"/>
                <w:szCs w:val="21"/>
                <w:lang w:bidi="ar"/>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零信任</w:t>
            </w:r>
            <w:r>
              <w:rPr>
                <w:rFonts w:hint="eastAsia" w:ascii="宋体" w:hAnsi="宋体" w:eastAsia="宋体" w:cs="宋体"/>
                <w:bCs/>
                <w:color w:val="000000" w:themeColor="text1"/>
                <w:kern w:val="0"/>
                <w:szCs w:val="21"/>
                <w14:textFill>
                  <w14:solidFill>
                    <w14:schemeClr w14:val="tx1"/>
                  </w14:solidFill>
                </w14:textFill>
              </w:rPr>
              <w:t>代理网关</w:t>
            </w:r>
            <w:r>
              <w:rPr>
                <w:rFonts w:hint="eastAsia" w:ascii="宋体" w:hAnsi="宋体" w:eastAsia="宋体" w:cs="宋体"/>
                <w:bCs/>
                <w:color w:val="000000" w:themeColor="text1"/>
                <w:kern w:val="0"/>
                <w:szCs w:val="21"/>
                <w:lang w:val="zh-TW"/>
                <w14:textFill>
                  <w14:solidFill>
                    <w14:schemeClr w14:val="tx1"/>
                  </w14:solidFill>
                </w14:textFill>
              </w:rPr>
              <w:t>指标</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规格：1U，内存大小≥16G，硬盘容量≥128G SSD，电源：冗余电源，接口：≥6千兆电口+4千兆光口SFP。加密流量≥600Mbps，并发用户数≥</w:t>
            </w:r>
            <w:r>
              <w:rPr>
                <w:rFonts w:hint="eastAsia" w:ascii="宋体" w:hAnsi="宋体" w:eastAsia="宋体" w:cs="宋体"/>
                <w:bCs/>
                <w:color w:val="000000" w:themeColor="text1"/>
                <w:kern w:val="0"/>
                <w:szCs w:val="21"/>
                <w14:textFill>
                  <w14:solidFill>
                    <w14:schemeClr w14:val="tx1"/>
                  </w14:solidFill>
                </w14:textFill>
              </w:rPr>
              <w:t>4</w:t>
            </w:r>
            <w:r>
              <w:rPr>
                <w:rFonts w:hint="eastAsia" w:ascii="宋体" w:hAnsi="宋体" w:eastAsia="宋体" w:cs="宋体"/>
                <w:bCs/>
                <w:color w:val="000000" w:themeColor="text1"/>
                <w:kern w:val="0"/>
                <w:szCs w:val="21"/>
                <w:lang w:val="zh-TW"/>
                <w14:textFill>
                  <w14:solidFill>
                    <w14:schemeClr w14:val="tx1"/>
                  </w14:solidFill>
                </w14:textFill>
              </w:rPr>
              <w:t>000个，https并发连接数≥60000个，https新建连接数≥400个/秒。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95" w:hRule="atLeast"/>
        </w:trPr>
        <w:tc>
          <w:tcPr>
            <w:tcW w:w="1354" w:type="pct"/>
            <w:vMerge w:val="restart"/>
            <w:shd w:val="clear" w:color="auto" w:fill="FFFFFF"/>
            <w:vAlign w:val="center"/>
          </w:tcPr>
          <w:p>
            <w:pPr>
              <w:widowControl/>
              <w:spacing w:line="288" w:lineRule="auto"/>
              <w:jc w:val="center"/>
              <w:textAlignment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设备部署</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网络部署</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了满足灵活部署的要求，控制中心应支持IPV4/IPV6双栈网络IP配置，可自主选择配置LAN口或WAN口。为了保护设备的安全，可支持默认限制所有IP通过WAN口访问系统，支持通过配置IP白名单的方式来放通WAN口接入的特殊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055"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端口聚合</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充分利用设备的网络性能，控制中心部署时支持配置聚合网口，并支持将聚合网口作为控制中心的网络部署IP。聚合网口支持通过哈希或802.3ad等标准对闲置网口进行网口绑定，支持通过ARP探测机制对聚合网口进行健康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vMerge w:val="restar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产品稳定性和授权规则</w:t>
            </w:r>
          </w:p>
        </w:tc>
        <w:tc>
          <w:tcPr>
            <w:tcW w:w="3485" w:type="pct"/>
            <w:shd w:val="clear" w:color="auto" w:fill="auto"/>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了提高系统可靠性，保障单台设备故障时系统仍可正常运行，控制中心应支持本地集群部署，且最少2台设备即可组建集群，单集群的最大节点数量不得少于4台；本地集群组建时，集群中的节点可承载工作负载功能，不需要依赖其它外置设备。为了使系统资源利用最大化，本地集群与分布式集群下各节点的零信任授权数均可共享使用，集群的总接入授权数是各节点授权数的总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80"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vMerge w:val="continue"/>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p>
        </w:tc>
        <w:tc>
          <w:tcPr>
            <w:tcW w:w="3485" w:type="pct"/>
            <w:shd w:val="clear" w:color="auto" w:fill="auto"/>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了保障系统的稳定性，集群节点支持故障后剩余节点仍能接管所有业务，分布式集群及本地集群均需支持授权漂移机制：集群中的单节点故障后，集群的总授权数跟故障前保持一致，且总授权数保留时间不得少于30天。</w:t>
            </w:r>
            <w:r>
              <w:rPr>
                <w:rFonts w:hint="eastAsia" w:ascii="宋体" w:hAnsi="宋体" w:eastAsia="宋体" w:cs="宋体"/>
                <w:b/>
                <w:color w:val="000000" w:themeColor="text1"/>
                <w:kern w:val="0"/>
                <w:szCs w:val="21"/>
                <w14:textFill>
                  <w14:solidFill>
                    <w14:schemeClr w14:val="tx1"/>
                  </w14:solidFill>
                </w14:textFill>
              </w:rPr>
              <w:t>（投标文件中提供公安部计算机信息系统安全产品质量监督检验中心出具的检测报告证明或其他权威检测机构</w:t>
            </w:r>
            <w:r>
              <w:rPr>
                <w:rFonts w:ascii="宋体" w:hAnsi="宋体" w:eastAsia="宋体" w:cs="宋体"/>
                <w:b/>
                <w:color w:val="000000" w:themeColor="text1"/>
                <w:kern w:val="0"/>
                <w:szCs w:val="21"/>
                <w14:textFill>
                  <w14:solidFill>
                    <w14:schemeClr w14:val="tx1"/>
                  </w14:solidFill>
                </w14:textFill>
              </w:rPr>
              <w:t>(具有 CMA 或CNAS 认证的检测机构)出具的检测报告证明</w:t>
            </w:r>
            <w:r>
              <w:rPr>
                <w:rFonts w:hint="eastAsia" w:ascii="宋体" w:hAnsi="宋体" w:eastAsia="宋体" w:cs="宋体"/>
                <w:b/>
                <w:color w:val="000000" w:themeColor="text1"/>
                <w:kern w:val="0"/>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1354" w:type="pct"/>
            <w:vMerge w:val="restart"/>
            <w:shd w:val="clear" w:color="auto" w:fill="FFFFFF"/>
            <w:noWrap/>
            <w:vAlign w:val="center"/>
          </w:tcPr>
          <w:p>
            <w:pPr>
              <w:widowControl/>
              <w:spacing w:line="288" w:lineRule="auto"/>
              <w:jc w:val="center"/>
              <w:textAlignment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资源发布能力</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应用打开方式</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应支持配置应用资源指定的打开方式，如浏览器等；为了适应某些业务系统对浏览器的兼容性，还应支持配置应用打开的指定浏览器类型。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95" w:hRule="atLeast"/>
        </w:trPr>
        <w:tc>
          <w:tcPr>
            <w:tcW w:w="1354" w:type="pct"/>
            <w:vMerge w:val="continue"/>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web资源代理模式</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为适应复杂多样的内部业务系统，web模式下发布应用资源时，应支持透明代理、智能改写等模式，以合理适配较规范化的业务系统及复杂老旧的非常规站点。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95" w:hRule="atLeast"/>
        </w:trPr>
        <w:tc>
          <w:tcPr>
            <w:tcW w:w="1354" w:type="pct"/>
            <w:vMerge w:val="continue"/>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WEB水印</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为提升业务应用的数据安全性，零信任系统应支持针对发布的WEB应用开启WEB水印，水印内容至少包括：用户名+当前年月日，起到威慑与溯源作用，有效预防数据泄露。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055" w:hRule="atLeast"/>
        </w:trPr>
        <w:tc>
          <w:tcPr>
            <w:tcW w:w="1354" w:type="pct"/>
            <w:vMerge w:val="continue"/>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vMerge w:val="restar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支持细粒度的资源发布</w:t>
            </w:r>
          </w:p>
        </w:tc>
        <w:tc>
          <w:tcPr>
            <w:tcW w:w="3485" w:type="pct"/>
            <w:shd w:val="clear" w:color="auto" w:fill="auto"/>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有效抵御恶意软件和有针对性地攻击，WEB资源发布时应支持到URL路径级别，且支持配置URL路径规则。黑名单模式下，用户只能访问不在黑名单内的路径；白名单模式下，用户只能访问白名单内的路径。且为了简化管理员配置，URL黑白名单还应支持 * ? 等通配符配置。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35" w:hRule="atLeast"/>
        </w:trPr>
        <w:tc>
          <w:tcPr>
            <w:tcW w:w="1354" w:type="pct"/>
            <w:vMerge w:val="continue"/>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vMerge w:val="continue"/>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隧道应用支持配置到业务服务器的具体端口，且支持配置客户端接入IP限制，只有满足网络区域条件的终端才能访问此应用。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178" w:hRule="atLeast"/>
        </w:trPr>
        <w:tc>
          <w:tcPr>
            <w:tcW w:w="1354" w:type="pct"/>
            <w:vMerge w:val="continue"/>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WEB资源支持依赖站点</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对于一些主要在主站点中点击使用的子站点WEB业务系统，且子站点跟主站点业务系统权限一致的场景，为简化管理员配置，零信任系统应支持开启依赖站点功能。为方便业务快速上线，还应支持自动采集站点功能对依赖站点进行梳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78" w:hRule="atLeast"/>
        </w:trPr>
        <w:tc>
          <w:tcPr>
            <w:tcW w:w="1354" w:type="pct"/>
            <w:vMerge w:val="continue"/>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私有DNS解析</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支持以私有DNS发布企业资源，无需额外购买DNS服务即可使用域名访问内网资源，支持管理员自主配置是否允许从具体网络区域（局域网/互联网）接入时使用此私有DNS解析地址。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81" w:hRule="atLeast"/>
        </w:trPr>
        <w:tc>
          <w:tcPr>
            <w:tcW w:w="1354" w:type="pct"/>
            <w:vMerge w:val="restart"/>
            <w:shd w:val="clear" w:color="auto" w:fill="FFFFFF"/>
            <w:noWrap/>
            <w:vAlign w:val="center"/>
          </w:tcPr>
          <w:p>
            <w:pPr>
              <w:widowControl/>
              <w:spacing w:line="288" w:lineRule="auto"/>
              <w:jc w:val="center"/>
              <w:textAlignment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终端接入能力</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客户端国产终端兼容性</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为了保障用户在国产化终端上的正常业务访问，零信任客户端应兼容主流国产硬件CPU的国产操作系统终端，</w:t>
            </w:r>
            <w:r>
              <w:rPr>
                <w:rFonts w:hint="eastAsia" w:ascii="宋体" w:hAnsi="宋体" w:eastAsia="宋体" w:cs="宋体"/>
                <w:b/>
                <w:color w:val="000000" w:themeColor="text1"/>
                <w:kern w:val="0"/>
                <w:szCs w:val="21"/>
                <w:lang w:val="zh-TW"/>
                <w14:textFill>
                  <w14:solidFill>
                    <w14:schemeClr w14:val="tx1"/>
                  </w14:solidFill>
                </w14:textFill>
              </w:rPr>
              <w:t>投标文件中需提供国产操作系统与零信任厂商的兼容性证明，包括但不限于</w:t>
            </w:r>
            <w:r>
              <w:rPr>
                <w:rFonts w:hint="eastAsia" w:ascii="宋体" w:hAnsi="宋体" w:eastAsia="宋体" w:cs="宋体"/>
                <w:b/>
                <w:color w:val="000000" w:themeColor="text1"/>
                <w:kern w:val="0"/>
                <w:szCs w:val="21"/>
                <w14:textFill>
                  <w14:solidFill>
                    <w14:schemeClr w14:val="tx1"/>
                  </w14:solidFill>
                </w14:textFill>
              </w:rPr>
              <w:t>麒麟V10×龙芯、麒麟V10×龙芯LoongArch、麒麟V10×飞腾、麒麟V10×鲲鹏、麒麟V10×兆芯、麒麟V10×海光、麒麟V10×海思麒麟；统信V20×龙芯（3A3000、3A4000）、统信V20×龙芯（3A5000）、统信V20×飞腾、统信V20×鲲鹏、统信V20×海光、统信V20×兆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055" w:hRule="atLeast"/>
        </w:trPr>
        <w:tc>
          <w:tcPr>
            <w:tcW w:w="1354" w:type="pct"/>
            <w:vMerge w:val="continue"/>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CDN接入能力</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1、支持配置用户的CDN作为零信任客户端下载地址，以降低设备本身的非业务访问带宽压力；2、当客户端通过CDN加速等代理方式接入访问业务系统时，支持获取CDN加速前的访问IP，并在日志中记录此IP为客户端IP。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15" w:hRule="atLeast"/>
        </w:trPr>
        <w:tc>
          <w:tcPr>
            <w:tcW w:w="1354" w:type="pct"/>
            <w:vMerge w:val="continue"/>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支持不同平台的终端同时在线</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支持不同平台的终端同时在线，管理员可分别设置可同时在线的PC或移动终端个数，配置范围不小于0-1000，当超过终端个数时，可以注销最早登录的终端，且被注销的终端有对应的注销提醒；管理员可设置允许终端在线数为0，以禁止用户通过此类终端接入访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208" w:hRule="atLeast"/>
        </w:trPr>
        <w:tc>
          <w:tcPr>
            <w:tcW w:w="1354" w:type="pct"/>
            <w:vMerge w:val="continue"/>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授信终端</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了保障单位员工认证安全与便捷性的平衡，需支持设置授信终端绑定，支持配置绑定授信终端的可信网络区域、增强认证条件；并可限定用户可绑定的授信终端数量：支持用户满足单一条件或多个条件后自助绑定，可配置条件包括但不限于网络区域、终端资产标签、终端标签类型等，最多可配置条件数不得少于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208" w:hRule="atLeast"/>
        </w:trPr>
        <w:tc>
          <w:tcPr>
            <w:tcW w:w="1354" w:type="pct"/>
            <w:vMerge w:val="restart"/>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szCs w:val="21"/>
                <w14:textFill>
                  <w14:solidFill>
                    <w14:schemeClr w14:val="tx1"/>
                  </w14:solidFill>
                </w14:textFill>
              </w:rPr>
              <w:t>用户管理</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外部用户管理</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控制中心应支持与外部用户管理服务器进行对接，包括LDAP用户目录、企业微信用户目录、</w:t>
            </w:r>
            <w:r>
              <w:rPr>
                <w:rFonts w:hint="eastAsia" w:ascii="宋体" w:hAnsi="宋体" w:eastAsia="宋体" w:cs="宋体"/>
                <w:bCs/>
                <w:color w:val="000000" w:themeColor="text1"/>
                <w:kern w:val="0"/>
                <w:szCs w:val="21"/>
                <w:lang w:val="zh-TW"/>
                <w14:textFill>
                  <w14:solidFill>
                    <w14:schemeClr w14:val="tx1"/>
                  </w14:solidFill>
                </w14:textFill>
              </w:rPr>
              <w:t>钉钉用户目录，支持自动同步</w:t>
            </w:r>
            <w:r>
              <w:rPr>
                <w:rFonts w:hint="eastAsia" w:ascii="宋体" w:hAnsi="宋体" w:eastAsia="宋体" w:cs="宋体"/>
                <w:bCs/>
                <w:color w:val="000000" w:themeColor="text1"/>
                <w:kern w:val="0"/>
                <w:szCs w:val="21"/>
                <w14:textFill>
                  <w14:solidFill>
                    <w14:schemeClr w14:val="tx1"/>
                  </w14:solidFill>
                </w14:textFill>
              </w:rPr>
              <w:t>LDAP用户、企业微信通讯录用户、钉钉通讯录用户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7" w:hRule="atLeast"/>
        </w:trPr>
        <w:tc>
          <w:tcPr>
            <w:tcW w:w="1354" w:type="pct"/>
            <w:vMerge w:val="continue"/>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外部群组导入</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eastAsia="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对于LDAP用户目录，支持导入外部群组，即安全组：</w:t>
            </w:r>
          </w:p>
          <w:p>
            <w:pPr>
              <w:widowControl/>
              <w:spacing w:line="288" w:lineRule="auto"/>
              <w:jc w:val="left"/>
              <w:rPr>
                <w:rFonts w:ascii="宋体" w:hAnsi="宋体" w:eastAsia="宋体" w:cs="宋体"/>
                <w:bCs/>
                <w:color w:val="000000" w:themeColor="text1"/>
                <w:kern w:val="0"/>
                <w:szCs w:val="21"/>
                <w:lang w:val="zh-TW" w:eastAsia="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1、支持基于已配置的搜索路径，展示该搜索路径下的所有群组</w:t>
            </w:r>
          </w:p>
          <w:p>
            <w:pPr>
              <w:widowControl/>
              <w:spacing w:line="288" w:lineRule="auto"/>
              <w:jc w:val="left"/>
              <w:rPr>
                <w:rFonts w:ascii="宋体" w:hAnsi="宋体" w:eastAsia="宋体" w:cs="宋体"/>
                <w:bCs/>
                <w:color w:val="000000" w:themeColor="text1"/>
                <w:kern w:val="0"/>
                <w:szCs w:val="21"/>
                <w:lang w:val="zh-TW" w:eastAsia="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2、对于从组织架构导入的用户，其所属群组支持导入；群组导入后，会自动将已导入本地的用户进行映射关联</w:t>
            </w:r>
          </w:p>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3、支持对群组进行授权，为群组关联资源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58" w:hRule="atLeast"/>
        </w:trPr>
        <w:tc>
          <w:tcPr>
            <w:tcW w:w="1354" w:type="pct"/>
            <w:vMerge w:val="restart"/>
            <w:shd w:val="clear" w:color="auto" w:fill="FFFFFF"/>
            <w:vAlign w:val="center"/>
          </w:tcPr>
          <w:p>
            <w:pPr>
              <w:widowControl/>
              <w:spacing w:line="288" w:lineRule="auto"/>
              <w:jc w:val="center"/>
              <w:textAlignment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认证管理</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支持的认证方式</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满足单位后续多样化安全便捷认证需求，支持以下认证方式：本地账号密码认证、LDAP/AD认证、OAuth2.0标准协议的票据认证、CAS标准协议的票据认证、Radius账号认证、HTTPS帐号认证、证书主认证、证书辅认证、短信主认证、短信辅认证、标准Radius令牌认证、第三方令牌认证、TOTP动态令牌认证等认证方式，并可与企业微信、阿里钉钉、飞书结合实现扫码认证，支持飞书用户或个人微信企业号通过H5接入。其中短信认证支持配置HTTPS短信网关、腾讯云短信网关、阿里云短信网关及Socket短信网关等网关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052"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自适应认证</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强化系统认证安全性，可配置在触发异常环境的条件时，用户需完成增强认证才可登录。可配置的异常环境包括但不限于：帐号首次登录、帐号在该终端首次登录、闲置帐号登录、弱密码登录、异常时间登录、非常用地点登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45"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客户端自带登录地址</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为了尽可能简化员工登录操作难度，支持在客户端登录时内置登录地址。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56"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手机扫码登录PC</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支持手机APP登录后支持扫码上线PC端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52"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手机零信任客户端安全设置</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支持配置应用安全锁、同时开启指纹、手势解锁APP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83" w:hRule="atLeast"/>
        </w:trPr>
        <w:tc>
          <w:tcPr>
            <w:tcW w:w="1354" w:type="pct"/>
            <w:vMerge w:val="restart"/>
            <w:shd w:val="clear" w:color="auto" w:fill="FFFFFF"/>
            <w:noWrap/>
            <w:vAlign w:val="center"/>
          </w:tcPr>
          <w:p>
            <w:pPr>
              <w:widowControl/>
              <w:spacing w:line="288" w:lineRule="auto"/>
              <w:jc w:val="center"/>
              <w:textAlignment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业务访问安全能力</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动态业务访问控制</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1.动态访问控制策略支持“与”、“或”条件嵌套，并可通过单一条件或条件组的方式灵活组合嵌套，可支持的条件变量应包括但不限于：应用类型、浏览器版本、客户端源IP、代理网关接入IP、应用访问的进程名称、终端名称、MAC地址、终端本地IP列表、操作系统版本、终端资产类型、终端标签类型、存在指定文件、操作系统安装的补丁、运行进程、运行指定杀毒软件、运行任一杀毒软件、零信任客户端版本、安装指定软件、开启系统防火墙、用户接入城市、用户登录国家、用户登录时间、应用进程的信任状态、弱密码、授信终端、授信域环境等；2、可联动终端EDR的检测评分作为策略条件；</w:t>
            </w:r>
            <w:r>
              <w:rPr>
                <w:rFonts w:hint="eastAsia" w:ascii="宋体" w:hAnsi="宋体" w:eastAsia="宋体" w:cs="宋体"/>
                <w:b/>
                <w:color w:val="000000" w:themeColor="text1"/>
                <w:kern w:val="0"/>
                <w:szCs w:val="21"/>
                <w:shd w:val="clear" w:color="FFFFFF" w:fill="D9D9D9"/>
                <w:lang w:val="zh-TW"/>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107" w:hRule="atLeast"/>
        </w:trPr>
        <w:tc>
          <w:tcPr>
            <w:tcW w:w="1354" w:type="pct"/>
            <w:vMerge w:val="continue"/>
            <w:shd w:val="clear" w:color="auto" w:fill="FFFFFF"/>
            <w:noWrap/>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安全能力集成能力</w:t>
            </w:r>
          </w:p>
        </w:tc>
        <w:tc>
          <w:tcPr>
            <w:tcW w:w="3485" w:type="pct"/>
            <w:shd w:val="clear" w:color="auto" w:fill="FFFFFF"/>
            <w:vAlign w:val="center"/>
          </w:tcPr>
          <w:p>
            <w:pPr>
              <w:widowControl/>
              <w:spacing w:line="288" w:lineRule="auto"/>
              <w:jc w:val="left"/>
              <w:rPr>
                <w:rFonts w:ascii="宋体" w:hAnsi="宋体" w:eastAsia="宋体" w:cs="宋体"/>
                <w:b/>
                <w:color w:val="000000" w:themeColor="text1"/>
                <w:kern w:val="0"/>
                <w:szCs w:val="21"/>
                <w:lang w:val="zh-TW"/>
                <w14:textFill>
                  <w14:solidFill>
                    <w14:schemeClr w14:val="tx1"/>
                  </w14:solidFill>
                </w14:textFill>
              </w:rPr>
            </w:pPr>
            <w:r>
              <w:rPr>
                <w:rFonts w:hint="eastAsia" w:ascii="宋体" w:hAnsi="宋体" w:eastAsia="宋体" w:cs="宋体"/>
                <w:b/>
                <w:color w:val="000000" w:themeColor="text1"/>
                <w:kern w:val="0"/>
                <w:szCs w:val="21"/>
                <w:lang w:val="zh-TW"/>
                <w14:textFill>
                  <w14:solidFill>
                    <w14:schemeClr w14:val="tx1"/>
                  </w14:solidFill>
                </w14:textFill>
              </w:rPr>
              <w:t>支持提供开放的API，管理员可以在控制台创建API KEY，供第三方安全设备或单位自有安全分析平台对接，便于形成统一的安全体系。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35" w:hRule="atLeast"/>
        </w:trPr>
        <w:tc>
          <w:tcPr>
            <w:tcW w:w="1354" w:type="pct"/>
            <w:vMerge w:val="restart"/>
            <w:shd w:val="clear" w:color="auto" w:fill="FFFFFF"/>
            <w:vAlign w:val="center"/>
          </w:tcPr>
          <w:p>
            <w:pPr>
              <w:widowControl/>
              <w:spacing w:line="288" w:lineRule="auto"/>
              <w:jc w:val="center"/>
              <w:textAlignment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终端数据安全</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手机SDK</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支持iOS、安卓手机APP集成零信任SDK，从而实现安全接入、沙箱等功能，避免单独安装零信任手机客户端，提升用户使用体验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67"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移动应用发布</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ascii="宋体" w:hAnsi="宋体" w:eastAsia="宋体" w:cs="宋体"/>
                <w:bCs/>
                <w:color w:val="000000" w:themeColor="text1"/>
                <w:kern w:val="0"/>
                <w:szCs w:val="21"/>
                <w:lang w:val="zh-TW"/>
                <w14:textFill>
                  <w14:solidFill>
                    <w14:schemeClr w14:val="tx1"/>
                  </w14:solidFill>
                </w14:textFill>
              </w:rPr>
              <w:t>可直接为已经集成零信任SDK并发布到安卓或ios应用市场的公有化生态应用配置策略，使其具有零信任接入能力及数据防泄漏能力，如泛微OA、致远OA等。若未发布此应用策略，此APP仅具备零信任接入能力。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34"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文件透明加解密</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文件加密支持“一文一密”即每个文件独立密钥，以确保沙箱组件被卸载、模块驱动被摘除的情况下，终端用户仍无法明文取出文件。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550"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沙箱准入策略</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准入条件可配置项应包括但不限于：计算机名称、计算机MAC地址、计算机IP列表、域名称、计算机操作系统版本、计算机资产类型、计算机标签、系统安装的补丁、存在指定文件、运行进程、运行指定杀毒软件、运行任一杀毒软件、安装指定软件、零信任客户端版本、用户接入IP、用户接入国家、用户登录时间、用户接入城市、授信终端登录等。支持联动EDR终端检测评分作为嵌套判定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61"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支持运行VDI客户端</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沙箱内支持主流桌面云、虚拟应用客户端，包括：华为、思杰、vmware、深信服。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858" w:hRule="atLeast"/>
        </w:trPr>
        <w:tc>
          <w:tcPr>
            <w:tcW w:w="1354" w:type="pct"/>
            <w:vMerge w:val="restart"/>
            <w:shd w:val="clear" w:color="auto" w:fill="FFFFFF"/>
            <w:vAlign w:val="center"/>
          </w:tcPr>
          <w:p>
            <w:pPr>
              <w:widowControl/>
              <w:spacing w:line="288" w:lineRule="auto"/>
              <w:jc w:val="center"/>
              <w:textAlignment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安全特性</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服务隐身</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1、为了最大程度缩小网络、业务暴露面，零信任平台需提供单包授权能力（SPA），支持UDP+TCP组合的单包授权技术，未授权用户无法连接零信任设备，无法扫描到服务端口，不会出现敲门放大漏洞。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124" w:hRule="atLeast"/>
        </w:trPr>
        <w:tc>
          <w:tcPr>
            <w:tcW w:w="1354" w:type="pct"/>
            <w:vMerge w:val="continue"/>
            <w:shd w:val="clear" w:color="auto" w:fill="FFFFFF"/>
            <w:vAlign w:val="center"/>
          </w:tcPr>
          <w:p>
            <w:pPr>
              <w:spacing w:line="288" w:lineRule="auto"/>
              <w:jc w:val="center"/>
              <w:rPr>
                <w:rFonts w:ascii="宋体" w:hAnsi="宋体" w:eastAsia="宋体" w:cs="微软雅黑"/>
                <w:color w:val="000000" w:themeColor="text1"/>
                <w:szCs w:val="21"/>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虚拟专线</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
                <w:color w:val="000000" w:themeColor="text1"/>
                <w:kern w:val="0"/>
                <w:szCs w:val="21"/>
                <w:lang w:val="zh-TW"/>
                <w14:textFill>
                  <w14:solidFill>
                    <w14:schemeClr w14:val="tx1"/>
                  </w14:solidFill>
                </w14:textFill>
              </w:rPr>
              <w:t>1、针对Windows系统用户，支持配置虚拟专线功能，当用户登录零信任客户端之后，自动断开互联网连接，避免互联网威胁影响内网业务系统。2、支持通过桌面悬浮球的方式，用户可一键切换内网或互联网</w:t>
            </w:r>
            <w:r>
              <w:rPr>
                <w:rFonts w:hint="eastAsia" w:ascii="宋体" w:hAnsi="宋体" w:eastAsia="宋体" w:cs="宋体"/>
                <w:bCs/>
                <w:color w:val="000000" w:themeColor="text1"/>
                <w:kern w:val="0"/>
                <w:szCs w:val="21"/>
                <w:lang w:val="zh-TW"/>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523" w:hRule="atLeast"/>
        </w:trPr>
        <w:tc>
          <w:tcPr>
            <w:tcW w:w="1354" w:type="pct"/>
            <w:shd w:val="clear" w:color="auto" w:fill="FFFFFF"/>
            <w:noWrap/>
            <w:vAlign w:val="center"/>
          </w:tcPr>
          <w:p>
            <w:pPr>
              <w:widowControl/>
              <w:spacing w:line="288" w:lineRule="auto"/>
              <w:jc w:val="center"/>
              <w:textAlignment w:val="center"/>
              <w:rPr>
                <w:rFonts w:ascii="宋体" w:hAnsi="宋体" w:eastAsia="宋体" w:cs="微软雅黑"/>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审计能力</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支持全面的日志记录</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支持用户安全日志提取，审计中心应将具有异常登录行为的用户日志自动打标签为用户安全日志，以便于管理员快速审计定位。用户安全日志包括但不限于：帐号安全（应包含帐号首次登录、异常时间登录、非常用地点登录、弱密码登录、爆破登录、闲置帐号登录、帐号在新终端登录等）、中间人攻击、SPA安全（应包含SPA端口扫描、SPA爆破攻击、SPA敲门伪造、SPA重放攻击、SPA安全码泄漏等）、cookie劫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47" w:hRule="atLeast"/>
        </w:trPr>
        <w:tc>
          <w:tcPr>
            <w:tcW w:w="1354" w:type="pct"/>
            <w:vMerge w:val="restart"/>
            <w:shd w:val="clear" w:color="auto" w:fill="FFFFFF"/>
            <w:noWrap/>
            <w:vAlign w:val="center"/>
          </w:tcPr>
          <w:p>
            <w:pPr>
              <w:widowControl/>
              <w:spacing w:line="288" w:lineRule="auto"/>
              <w:jc w:val="center"/>
              <w:textAlignment w:val="center"/>
              <w:rPr>
                <w:rFonts w:ascii="宋体" w:hAnsi="宋体" w:eastAsia="宋体" w:cs="微软雅黑"/>
                <w:color w:val="000000" w:themeColor="text1"/>
                <w:kern w:val="0"/>
                <w:szCs w:val="21"/>
                <w:lang w:bidi="ar"/>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权限管理</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支持授权可视化</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支持可视每一</w:t>
            </w:r>
            <w:r>
              <w:rPr>
                <w:rFonts w:hint="eastAsia" w:ascii="宋体" w:hAnsi="宋体" w:eastAsia="宋体" w:cs="宋体"/>
                <w:bCs/>
                <w:color w:val="000000" w:themeColor="text1"/>
                <w:kern w:val="0"/>
                <w:szCs w:val="21"/>
                <w:lang w:val="zh-TW" w:eastAsia="zh-TW"/>
                <w14:textFill>
                  <w14:solidFill>
                    <w14:schemeClr w14:val="tx1"/>
                  </w14:solidFill>
                </w14:textFill>
              </w:rPr>
              <w:t>用户或用户组</w:t>
            </w:r>
            <w:r>
              <w:rPr>
                <w:rFonts w:hint="eastAsia" w:ascii="宋体" w:hAnsi="宋体" w:eastAsia="宋体" w:cs="宋体"/>
                <w:bCs/>
                <w:color w:val="000000" w:themeColor="text1"/>
                <w:kern w:val="0"/>
                <w:szCs w:val="21"/>
                <w14:textFill>
                  <w14:solidFill>
                    <w14:schemeClr w14:val="tx1"/>
                  </w14:solidFill>
                </w14:textFill>
              </w:rPr>
              <w:t>的权限，</w:t>
            </w:r>
            <w:r>
              <w:rPr>
                <w:rFonts w:hint="eastAsia" w:ascii="宋体" w:hAnsi="宋体" w:eastAsia="宋体" w:cs="宋体"/>
                <w:bCs/>
                <w:color w:val="000000" w:themeColor="text1"/>
                <w:kern w:val="0"/>
                <w:szCs w:val="21"/>
                <w:lang w:val="zh-TW" w:eastAsia="zh-TW"/>
                <w14:textFill>
                  <w14:solidFill>
                    <w14:schemeClr w14:val="tx1"/>
                  </w14:solidFill>
                </w14:textFill>
              </w:rPr>
              <w:t>可以看到该用户、该用户组关联的所有应用及应用分类，避免出现权限授权</w:t>
            </w:r>
            <w:r>
              <w:rPr>
                <w:rFonts w:hint="eastAsia" w:ascii="宋体" w:hAnsi="宋体" w:eastAsia="宋体" w:cs="宋体"/>
                <w:bCs/>
                <w:color w:val="000000" w:themeColor="text1"/>
                <w:kern w:val="0"/>
                <w:szCs w:val="21"/>
                <w14:textFill>
                  <w14:solidFill>
                    <w14:schemeClr w14:val="tx1"/>
                  </w14:solidFill>
                </w14:textFill>
              </w:rPr>
              <w:t>不可视、难管理的问题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144" w:hRule="atLeast"/>
        </w:trPr>
        <w:tc>
          <w:tcPr>
            <w:tcW w:w="1354" w:type="pct"/>
            <w:vMerge w:val="continue"/>
            <w:shd w:val="clear" w:color="auto" w:fill="FFFFFF"/>
            <w:noWrap/>
            <w:vAlign w:val="center"/>
          </w:tcPr>
          <w:p>
            <w:pPr>
              <w:widowControl/>
              <w:spacing w:line="288" w:lineRule="auto"/>
              <w:jc w:val="center"/>
              <w:textAlignment w:val="center"/>
              <w:rPr>
                <w:rFonts w:ascii="宋体" w:hAnsi="宋体" w:eastAsia="宋体" w:cs="微软雅黑"/>
                <w:color w:val="000000" w:themeColor="text1"/>
                <w:kern w:val="0"/>
                <w:szCs w:val="21"/>
                <w:lang w:bidi="ar"/>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权限梳理基本能力</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由于单位业务系统众多，员工权限交错复杂，需零信任平台提供权限梳理基本能力，帮助排除零信任建设障碍，且须支持应用采集、试运行、正式运行等多个阶段的梳理支持。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06" w:hRule="atLeast"/>
        </w:trPr>
        <w:tc>
          <w:tcPr>
            <w:tcW w:w="1354" w:type="pct"/>
            <w:vMerge w:val="continue"/>
            <w:shd w:val="clear" w:color="auto" w:fill="FFFFFF"/>
            <w:noWrap/>
            <w:vAlign w:val="center"/>
          </w:tcPr>
          <w:p>
            <w:pPr>
              <w:widowControl/>
              <w:spacing w:line="288" w:lineRule="auto"/>
              <w:jc w:val="center"/>
              <w:textAlignment w:val="center"/>
              <w:rPr>
                <w:rFonts w:ascii="宋体" w:hAnsi="宋体" w:eastAsia="宋体" w:cs="微软雅黑"/>
                <w:color w:val="000000" w:themeColor="text1"/>
                <w:kern w:val="0"/>
                <w:szCs w:val="21"/>
                <w:lang w:bidi="ar"/>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应用权限审批</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1、支持查看/审批/驳回所有用户提交的应用申请，申请通过后自动关联给用户的个人应用</w:t>
            </w:r>
          </w:p>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2、应用管理员仅可处理所管理应用范围内的申请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1354" w:type="pct"/>
            <w:vMerge w:val="restart"/>
            <w:shd w:val="clear" w:color="auto" w:fill="FFFFFF"/>
            <w:noWrap/>
            <w:vAlign w:val="center"/>
          </w:tcPr>
          <w:p>
            <w:pPr>
              <w:spacing w:line="288" w:lineRule="auto"/>
              <w:jc w:val="center"/>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设备安全</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防爆破</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支持配置同名用户连续登录错误超过上限时锁定账号，并于指定时长后自动恢复，支持配置同IP用户连续登录错误超过上限时锁定IP，并于指定时长后自动恢复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81" w:hRule="atLeast"/>
        </w:trPr>
        <w:tc>
          <w:tcPr>
            <w:tcW w:w="1354" w:type="pct"/>
            <w:vMerge w:val="continue"/>
            <w:shd w:val="clear" w:color="auto" w:fill="FFFFFF"/>
            <w:noWrap/>
            <w:vAlign w:val="center"/>
          </w:tcPr>
          <w:p>
            <w:pPr>
              <w:widowControl/>
              <w:spacing w:line="288" w:lineRule="auto"/>
              <w:jc w:val="center"/>
              <w:textAlignment w:val="center"/>
              <w:rPr>
                <w:rFonts w:ascii="宋体" w:hAnsi="宋体" w:eastAsia="宋体" w:cs="微软雅黑"/>
                <w:color w:val="000000" w:themeColor="text1"/>
                <w:kern w:val="0"/>
                <w:szCs w:val="21"/>
                <w:lang w:bidi="ar"/>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防机器人</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防</w:t>
            </w:r>
            <w:r>
              <w:rPr>
                <w:rFonts w:hint="eastAsia" w:ascii="宋体" w:hAnsi="宋体" w:eastAsia="宋体" w:cs="宋体"/>
                <w:bCs/>
                <w:color w:val="000000" w:themeColor="text1"/>
                <w:kern w:val="0"/>
                <w:szCs w:val="21"/>
                <w:lang w:val="zh-TW" w:eastAsia="zh-TW"/>
                <w14:textFill>
                  <w14:solidFill>
                    <w14:schemeClr w14:val="tx1"/>
                  </w14:solidFill>
                </w14:textFill>
              </w:rPr>
              <w:t>机器人输入</w:t>
            </w:r>
            <w:r>
              <w:rPr>
                <w:rFonts w:hint="eastAsia" w:ascii="宋体" w:hAnsi="宋体" w:eastAsia="宋体" w:cs="宋体"/>
                <w:bCs/>
                <w:color w:val="000000" w:themeColor="text1"/>
                <w:kern w:val="0"/>
                <w:szCs w:val="21"/>
                <w14:textFill>
                  <w14:solidFill>
                    <w14:schemeClr w14:val="tx1"/>
                  </w14:solidFill>
                </w14:textFill>
              </w:rPr>
              <w:t>，</w:t>
            </w:r>
            <w:r>
              <w:rPr>
                <w:rFonts w:hint="eastAsia" w:ascii="宋体" w:hAnsi="宋体" w:eastAsia="宋体" w:cs="宋体"/>
                <w:bCs/>
                <w:color w:val="000000" w:themeColor="text1"/>
                <w:kern w:val="0"/>
                <w:szCs w:val="21"/>
                <w:lang w:val="zh-TW" w:eastAsia="zh-TW"/>
                <w14:textFill>
                  <w14:solidFill>
                    <w14:schemeClr w14:val="tx1"/>
                  </w14:solidFill>
                </w14:textFill>
              </w:rPr>
              <w:t>提供强安全性的点击图像校验码机制，图形校验码支持中文和英文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63" w:hRule="atLeast"/>
        </w:trPr>
        <w:tc>
          <w:tcPr>
            <w:tcW w:w="1354" w:type="pct"/>
            <w:vMerge w:val="continue"/>
            <w:shd w:val="clear" w:color="auto" w:fill="FFFFFF"/>
            <w:noWrap/>
            <w:vAlign w:val="center"/>
          </w:tcPr>
          <w:p>
            <w:pPr>
              <w:widowControl/>
              <w:spacing w:line="288" w:lineRule="auto"/>
              <w:jc w:val="center"/>
              <w:textAlignment w:val="center"/>
              <w:rPr>
                <w:rFonts w:ascii="宋体" w:hAnsi="宋体" w:eastAsia="宋体" w:cs="微软雅黑"/>
                <w:color w:val="000000" w:themeColor="text1"/>
                <w:kern w:val="0"/>
                <w:szCs w:val="21"/>
                <w:lang w:bidi="ar"/>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OpenAPI</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1、支持对接多个设备进行openapi接口调用</w:t>
            </w:r>
          </w:p>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2、支持限制openapi调用ip范围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844" w:hRule="atLeast"/>
        </w:trPr>
        <w:tc>
          <w:tcPr>
            <w:tcW w:w="1354" w:type="pct"/>
            <w:vMerge w:val="restart"/>
            <w:shd w:val="clear" w:color="auto" w:fill="FFFFFF"/>
            <w:noWrap/>
            <w:vAlign w:val="center"/>
          </w:tcPr>
          <w:p>
            <w:pPr>
              <w:widowControl/>
              <w:spacing w:line="288" w:lineRule="auto"/>
              <w:jc w:val="center"/>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监控中心</w:t>
            </w: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设备状态</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支持查看当前设备运行状态，包括设备硬件状态（CPU、内存、磁盘占比等）、并发会话数、并发用户数、实时网络吞吐、历史网络吞吐峰值等信息，便于管理员掌握设备整体运行情况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71" w:hRule="atLeast"/>
        </w:trPr>
        <w:tc>
          <w:tcPr>
            <w:tcW w:w="1354" w:type="pct"/>
            <w:vMerge w:val="continue"/>
            <w:shd w:val="clear" w:color="auto" w:fill="FFFFFF"/>
            <w:noWrap/>
            <w:vAlign w:val="center"/>
          </w:tcPr>
          <w:p>
            <w:pPr>
              <w:widowControl/>
              <w:spacing w:line="288" w:lineRule="auto"/>
              <w:jc w:val="center"/>
              <w:textAlignment w:val="center"/>
              <w:rPr>
                <w:rFonts w:ascii="宋体" w:hAnsi="宋体" w:eastAsia="宋体" w:cs="微软雅黑"/>
                <w:color w:val="000000" w:themeColor="text1"/>
                <w:kern w:val="0"/>
                <w:szCs w:val="21"/>
                <w:lang w:bidi="ar"/>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用户状态</w:t>
            </w:r>
          </w:p>
        </w:tc>
        <w:tc>
          <w:tcPr>
            <w:tcW w:w="3485"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支持管理员在控制台查看“用户状态”，主要是异常状态，如爆破锁定、ACL锁定、异地登录等，支持管理员手动解锁用户。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017" w:hRule="atLeast"/>
        </w:trPr>
        <w:tc>
          <w:tcPr>
            <w:tcW w:w="1354" w:type="pct"/>
            <w:vMerge w:val="restart"/>
            <w:shd w:val="clear" w:color="auto" w:fill="FFFFFF"/>
            <w:noWrap/>
            <w:vAlign w:val="center"/>
          </w:tcPr>
          <w:p>
            <w:pPr>
              <w:spacing w:line="288" w:lineRule="auto"/>
              <w:jc w:val="center"/>
              <w:rPr>
                <w:rFonts w:ascii="宋体" w:hAnsi="宋体" w:eastAsia="宋体" w:cs="宋体"/>
                <w:bCs/>
                <w:color w:val="000000" w:themeColor="text1"/>
                <w:kern w:val="0"/>
                <w:szCs w:val="21"/>
                <w:lang w:val="zh-TW" w:eastAsia="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系统运维</w:t>
            </w:r>
          </w:p>
        </w:tc>
        <w:tc>
          <w:tcPr>
            <w:tcW w:w="160" w:type="pct"/>
            <w:shd w:val="clear" w:color="auto" w:fill="FFFFFF"/>
            <w:vAlign w:val="center"/>
          </w:tcPr>
          <w:p>
            <w:pPr>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终端诊断工具</w:t>
            </w:r>
          </w:p>
        </w:tc>
        <w:tc>
          <w:tcPr>
            <w:tcW w:w="3485" w:type="pct"/>
            <w:shd w:val="clear" w:color="auto" w:fill="FFFFFF"/>
            <w:vAlign w:val="center"/>
          </w:tcPr>
          <w:p>
            <w:pPr>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
                <w:color w:val="000000" w:themeColor="text1"/>
                <w:kern w:val="0"/>
                <w:szCs w:val="21"/>
                <w:lang w:val="zh-TW"/>
                <w14:textFill>
                  <w14:solidFill>
                    <w14:schemeClr w14:val="tx1"/>
                  </w14:solidFill>
                </w14:textFill>
              </w:rPr>
              <w:t>1、支持终端环境诊断排查，提供终端诊断工具，支持对当前终端的基本环境进行扫描和一键修复，便于员工自行排查修复终端问题，减少IT运维人员工作。2、终端诊断检测内容应包括但不限于：Windows Temp目录可写状态、DNS驱动状态、零信任服务运行状态、零信任http服务检测状态、关键控件完整性检测、可疑病毒驱动检测</w:t>
            </w:r>
            <w:r>
              <w:rPr>
                <w:rFonts w:hint="eastAsia" w:ascii="宋体" w:hAnsi="宋体" w:eastAsia="宋体" w:cs="宋体"/>
                <w:bCs/>
                <w:color w:val="000000" w:themeColor="text1"/>
                <w:kern w:val="0"/>
                <w:szCs w:val="21"/>
                <w:lang w:val="zh-TW"/>
                <w14:textFill>
                  <w14:solidFill>
                    <w14:schemeClr w14:val="tx1"/>
                  </w14:solidFill>
                </w14:textFill>
              </w:rPr>
              <w:t>、是否启动IE代理、是否启动IE自动代理脚本、虚拟网卡状态、虚拟网卡注册表、Hiworld病毒检测、IE的TLS1.0 1.1 1.2协议启用状态、客户端系统兼容性、零信任客户端系统依赖库返回情况、零信任核心文件返回情况、系统防火墙规则、本地DNS列表、终端系统本地时间等。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12" w:hRule="atLeast"/>
        </w:trPr>
        <w:tc>
          <w:tcPr>
            <w:tcW w:w="1354" w:type="pct"/>
            <w:vMerge w:val="continue"/>
            <w:shd w:val="clear" w:color="auto" w:fill="FFFFFF"/>
            <w:noWrap/>
            <w:vAlign w:val="center"/>
          </w:tcPr>
          <w:p>
            <w:pPr>
              <w:spacing w:line="288" w:lineRule="auto"/>
              <w:jc w:val="center"/>
              <w:rPr>
                <w:rFonts w:ascii="宋体" w:hAnsi="宋体" w:eastAsia="宋体" w:cs="宋体"/>
                <w:bCs/>
                <w:color w:val="000000" w:themeColor="text1"/>
                <w:kern w:val="0"/>
                <w:szCs w:val="21"/>
                <w:lang w:val="zh-TW" w:eastAsia="zh-TW"/>
                <w14:textFill>
                  <w14:solidFill>
                    <w14:schemeClr w14:val="tx1"/>
                  </w14:solidFill>
                </w14:textFill>
              </w:rPr>
            </w:pPr>
          </w:p>
        </w:tc>
        <w:tc>
          <w:tcPr>
            <w:tcW w:w="160" w:type="pct"/>
            <w:shd w:val="clear" w:color="auto" w:fill="FFFFFF"/>
            <w:vAlign w:val="center"/>
          </w:tcPr>
          <w:p>
            <w:pPr>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终端日志收集</w:t>
            </w:r>
          </w:p>
        </w:tc>
        <w:tc>
          <w:tcPr>
            <w:tcW w:w="3485" w:type="pct"/>
            <w:shd w:val="clear" w:color="auto" w:fill="FFFFFF"/>
            <w:vAlign w:val="center"/>
          </w:tcPr>
          <w:p>
            <w:pPr>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1、支持用户在客户端自助进行日志收集，方便运维排查。2、为了方便快速运维排障，支持管理员在控制台远程获取在线终端的日志，若终端不在线时支持加入排队列表，排队列表中的终端上线后自动收集日志。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615" w:hRule="atLeast"/>
        </w:trPr>
        <w:tc>
          <w:tcPr>
            <w:tcW w:w="1354" w:type="pct"/>
            <w:vMerge w:val="restart"/>
            <w:shd w:val="clear" w:color="auto" w:fill="FFFFFF"/>
            <w:vAlign w:val="center"/>
          </w:tcPr>
          <w:p>
            <w:pPr>
              <w:spacing w:line="288" w:lineRule="auto"/>
              <w:jc w:val="center"/>
              <w:rPr>
                <w:rFonts w:ascii="宋体" w:hAnsi="宋体" w:eastAsia="宋体" w:cs="宋体"/>
                <w:bCs/>
                <w:color w:val="000000" w:themeColor="text1"/>
                <w:kern w:val="0"/>
                <w:szCs w:val="21"/>
                <w:lang w:val="zh-TW" w:eastAsia="zh-TW"/>
                <w14:textFill>
                  <w14:solidFill>
                    <w14:schemeClr w14:val="tx1"/>
                  </w14:solidFill>
                </w14:textFill>
              </w:rPr>
            </w:pPr>
            <w:r>
              <w:rPr>
                <w:rFonts w:hint="eastAsia" w:ascii="宋体" w:hAnsi="宋体" w:eastAsia="宋体" w:cs="宋体"/>
                <w:bCs/>
                <w:color w:val="000000" w:themeColor="text1"/>
                <w:kern w:val="0"/>
                <w:szCs w:val="21"/>
                <w:lang w:val="zh-TW" w:eastAsia="zh-TW"/>
                <w14:textFill>
                  <w14:solidFill>
                    <w14:schemeClr w14:val="tx1"/>
                  </w14:solidFill>
                </w14:textFill>
              </w:rPr>
              <w:t>系统配置</w:t>
            </w:r>
          </w:p>
        </w:tc>
        <w:tc>
          <w:tcPr>
            <w:tcW w:w="160" w:type="pct"/>
            <w:shd w:val="clear" w:color="auto" w:fill="FFFFFF"/>
            <w:vAlign w:val="center"/>
          </w:tcPr>
          <w:p>
            <w:pPr>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开放能力</w:t>
            </w:r>
          </w:p>
        </w:tc>
        <w:tc>
          <w:tcPr>
            <w:tcW w:w="3485" w:type="pct"/>
            <w:shd w:val="clear" w:color="auto" w:fill="FFFFFF"/>
            <w:vAlign w:val="center"/>
          </w:tcPr>
          <w:p>
            <w:pPr>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为方便整合业务系统的工作流程，应支持通过OPEN API的方式将零信任系统的能力开放给第三方业务系统进行调用配置，如满足用户需要业务系统访问权限时可以直接通过OA办公系统的工单审批流程来申请的需求。支持通过限制访问OPEN API的IP接入地址、API密钥加密等方式来保障OPEN API的调用安全。为满足业务客户端个性化接入的需求，应支持通过SDK集成的方式将零信任系统的PC端客户端与移动端客户端接入能力集成到第三方业务系统中，从而不体现零信任厂商的信息。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13" w:hRule="atLeast"/>
        </w:trPr>
        <w:tc>
          <w:tcPr>
            <w:tcW w:w="1354" w:type="pct"/>
            <w:vMerge w:val="continue"/>
            <w:shd w:val="clear" w:color="auto" w:fill="FFFFFF"/>
            <w:vAlign w:val="center"/>
          </w:tcPr>
          <w:p>
            <w:pPr>
              <w:widowControl/>
              <w:spacing w:line="288" w:lineRule="auto"/>
              <w:jc w:val="center"/>
              <w:textAlignment w:val="center"/>
              <w:rPr>
                <w:rFonts w:ascii="宋体" w:hAnsi="宋体" w:eastAsia="宋体" w:cs="微软雅黑"/>
                <w:color w:val="000000" w:themeColor="text1"/>
                <w:kern w:val="0"/>
                <w:szCs w:val="21"/>
                <w:lang w:bidi="ar"/>
                <w14:textFill>
                  <w14:solidFill>
                    <w14:schemeClr w14:val="tx1"/>
                  </w14:solidFill>
                </w14:textFill>
              </w:rPr>
            </w:pPr>
          </w:p>
        </w:tc>
        <w:tc>
          <w:tcPr>
            <w:tcW w:w="160" w:type="pct"/>
            <w:shd w:val="clear" w:color="auto" w:fill="FFFFFF"/>
            <w:vAlign w:val="center"/>
          </w:tcPr>
          <w:p>
            <w:pPr>
              <w:widowControl/>
              <w:spacing w:line="288" w:lineRule="auto"/>
              <w:jc w:val="left"/>
              <w:rPr>
                <w:rFonts w:ascii="宋体" w:hAnsi="宋体" w:eastAsia="宋体" w:cs="宋体"/>
                <w:bCs/>
                <w:color w:val="000000" w:themeColor="text1"/>
                <w:kern w:val="0"/>
                <w:szCs w:val="21"/>
                <w:lang w:val="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流量镜像</w:t>
            </w:r>
          </w:p>
        </w:tc>
        <w:tc>
          <w:tcPr>
            <w:tcW w:w="3485" w:type="pct"/>
            <w:shd w:val="clear" w:color="auto" w:fill="FFFFFF"/>
            <w:vAlign w:val="center"/>
          </w:tcPr>
          <w:p>
            <w:pPr>
              <w:widowControl/>
              <w:spacing w:line="288" w:lineRule="auto"/>
              <w:jc w:val="left"/>
              <w:rPr>
                <w:rFonts w:ascii="宋体" w:hAnsi="宋体" w:eastAsia="宋体" w:cs="宋体"/>
                <w:b/>
                <w:color w:val="000000" w:themeColor="text1"/>
                <w:kern w:val="0"/>
                <w:szCs w:val="21"/>
                <w:lang w:val="zh-TW"/>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支持将用户访问控制器的加密流量解密后镜像给外部系统，如态势感知等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245" w:hRule="atLeast"/>
        </w:trPr>
        <w:tc>
          <w:tcPr>
            <w:tcW w:w="1354" w:type="pct"/>
            <w:shd w:val="clear" w:color="auto" w:fill="FFFFFF"/>
            <w:vAlign w:val="center"/>
          </w:tcPr>
          <w:p>
            <w:pPr>
              <w:spacing w:line="288" w:lineRule="auto"/>
              <w:jc w:val="center"/>
              <w:rPr>
                <w:rFonts w:ascii="宋体" w:hAnsi="宋体" w:eastAsia="宋体" w:cs="宋体"/>
                <w:bCs/>
                <w:color w:val="000000" w:themeColor="text1"/>
                <w:kern w:val="0"/>
                <w:szCs w:val="21"/>
                <w:lang w:val="zh-TW" w:eastAsia="zh-TW"/>
                <w14:textFill>
                  <w14:solidFill>
                    <w14:schemeClr w14:val="tx1"/>
                  </w14:solidFill>
                </w14:textFill>
              </w:rPr>
            </w:pPr>
            <w:r>
              <w:rPr>
                <w:rFonts w:hint="eastAsia" w:ascii="宋体" w:hAnsi="宋体" w:eastAsia="宋体" w:cs="宋体"/>
                <w:bCs/>
                <w:color w:val="000000" w:themeColor="text1"/>
                <w:kern w:val="0"/>
                <w:szCs w:val="21"/>
                <w:lang w:val="zh-TW"/>
                <w14:textFill>
                  <w14:solidFill>
                    <w14:schemeClr w14:val="tx1"/>
                  </w14:solidFill>
                </w14:textFill>
              </w:rPr>
              <w:t>产品资质</w:t>
            </w:r>
          </w:p>
        </w:tc>
        <w:tc>
          <w:tcPr>
            <w:tcW w:w="3646" w:type="pct"/>
            <w:gridSpan w:val="2"/>
            <w:shd w:val="clear" w:color="auto" w:fill="FFFFFF"/>
            <w:vAlign w:val="center"/>
          </w:tcPr>
          <w:p>
            <w:pPr>
              <w:spacing w:line="288" w:lineRule="auto"/>
              <w:jc w:val="left"/>
              <w:rPr>
                <w:rFonts w:ascii="宋体" w:hAnsi="宋体" w:eastAsia="PMingLiU" w:cs="宋体"/>
                <w:b/>
                <w:bCs/>
                <w:color w:val="000000" w:themeColor="text1"/>
                <w:kern w:val="0"/>
                <w:szCs w:val="21"/>
                <w:lang w:val="zh-TW" w:eastAsia="zh-TW"/>
                <w14:textFill>
                  <w14:solidFill>
                    <w14:schemeClr w14:val="tx1"/>
                  </w14:solidFill>
                </w14:textFill>
              </w:rPr>
            </w:pPr>
            <w:r>
              <w:rPr>
                <w:rFonts w:hint="eastAsia" w:cs="宋体" w:asciiTheme="minorEastAsia" w:hAnsiTheme="minorEastAsia"/>
                <w:b/>
                <w:bCs/>
                <w:color w:val="000000" w:themeColor="text1"/>
                <w:kern w:val="0"/>
                <w:szCs w:val="21"/>
                <w:lang w:val="zh-TW" w:eastAsia="zh-TW"/>
                <w14:textFill>
                  <w14:solidFill>
                    <w14:schemeClr w14:val="tx1"/>
                  </w14:solidFill>
                </w14:textFill>
              </w:rPr>
              <w:t>符合国家相关强制性要求</w:t>
            </w:r>
          </w:p>
        </w:tc>
      </w:tr>
    </w:tbl>
    <w:p>
      <w:pPr>
        <w:spacing w:line="288" w:lineRule="auto"/>
        <w:rPr>
          <w:rFonts w:ascii="宋体" w:hAnsi="宋体" w:eastAsia="PMingLiU"/>
          <w:color w:val="000000" w:themeColor="text1"/>
          <w:szCs w:val="21"/>
          <w:lang w:eastAsia="zh-TW"/>
          <w14:textFill>
            <w14:solidFill>
              <w14:schemeClr w14:val="tx1"/>
            </w14:solidFill>
          </w14:textFill>
        </w:rPr>
      </w:pPr>
    </w:p>
    <w:p>
      <w:pPr>
        <w:spacing w:line="288"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1）演示内容</w:t>
      </w:r>
    </w:p>
    <w:p>
      <w:pPr>
        <w:numPr>
          <w:ilvl w:val="0"/>
          <w:numId w:val="4"/>
        </w:numPr>
        <w:spacing w:line="288" w:lineRule="auto"/>
        <w:rPr>
          <w:rFonts w:ascii="宋体" w:hAnsi="宋体" w:eastAsia="宋体"/>
          <w:b/>
          <w:bCs/>
          <w:color w:val="000000" w:themeColor="text1"/>
          <w:kern w:val="0"/>
          <w:szCs w:val="21"/>
          <w14:textFill>
            <w14:solidFill>
              <w14:schemeClr w14:val="tx1"/>
            </w14:solidFill>
          </w14:textFill>
        </w:rPr>
      </w:pPr>
      <w:r>
        <w:rPr>
          <w:rFonts w:hint="eastAsia" w:ascii="宋体" w:hAnsi="宋体" w:eastAsia="宋体"/>
          <w:b/>
          <w:bCs/>
          <w:color w:val="000000" w:themeColor="text1"/>
          <w:kern w:val="0"/>
          <w:szCs w:val="21"/>
          <w14:textFill>
            <w14:solidFill>
              <w14:schemeClr w14:val="tx1"/>
            </w14:solidFill>
          </w14:textFill>
        </w:rPr>
        <w:t>支持终端环境诊断排查，提供终端诊断工具，支持对当前终端的基本环境进行扫描和一键修复，便于员工自行排查修复终端问题，减少IT运维人员工作。终端诊断检测内容应包括但不限于：Windows Temp目录可写状态、DNS驱动状态、零信任服务运行状态、零信任http服务检测状态、关键控件完整性检测、可疑病毒驱动检测等。</w:t>
      </w:r>
    </w:p>
    <w:p>
      <w:pPr>
        <w:spacing w:line="288" w:lineRule="auto"/>
        <w:ind w:firstLine="435"/>
        <w:rPr>
          <w:rFonts w:ascii="宋体" w:hAnsi="宋体" w:eastAsia="宋体"/>
          <w:b/>
          <w:bCs/>
          <w:color w:val="000000" w:themeColor="text1"/>
          <w:kern w:val="0"/>
          <w:szCs w:val="21"/>
          <w14:textFill>
            <w14:solidFill>
              <w14:schemeClr w14:val="tx1"/>
            </w14:solidFill>
          </w14:textFill>
        </w:rPr>
      </w:pPr>
    </w:p>
    <w:p>
      <w:pPr>
        <w:numPr>
          <w:ilvl w:val="0"/>
          <w:numId w:val="4"/>
        </w:numPr>
        <w:spacing w:line="288" w:lineRule="auto"/>
        <w:rPr>
          <w:rFonts w:ascii="宋体" w:hAnsi="宋体" w:eastAsia="宋体"/>
          <w:b/>
          <w:bCs/>
          <w:color w:val="000000" w:themeColor="text1"/>
          <w:kern w:val="0"/>
          <w:szCs w:val="21"/>
          <w14:textFill>
            <w14:solidFill>
              <w14:schemeClr w14:val="tx1"/>
            </w14:solidFill>
          </w14:textFill>
        </w:rPr>
      </w:pPr>
      <w:r>
        <w:rPr>
          <w:rFonts w:hint="eastAsia" w:ascii="宋体" w:hAnsi="宋体" w:eastAsia="宋体"/>
          <w:b/>
          <w:bCs/>
          <w:color w:val="000000" w:themeColor="text1"/>
          <w:kern w:val="0"/>
          <w:szCs w:val="21"/>
          <w14:textFill>
            <w14:solidFill>
              <w14:schemeClr w14:val="tx1"/>
            </w14:solidFill>
          </w14:textFill>
        </w:rPr>
        <w:t>针对Windows系统用户，支持配置虚拟专线功能，当用户登录零信任客户端之后，自动断开互联网连接，避免互联网威胁影响内网业务系统，支持通过桌面悬浮球的方式，用户可一键切换内网或互联网</w:t>
      </w:r>
    </w:p>
    <w:p>
      <w:pPr>
        <w:spacing w:line="288" w:lineRule="auto"/>
        <w:ind w:firstLine="435"/>
        <w:rPr>
          <w:rFonts w:ascii="宋体" w:hAnsi="宋体" w:eastAsia="宋体"/>
          <w:b/>
          <w:bCs/>
          <w:color w:val="000000" w:themeColor="text1"/>
          <w:kern w:val="0"/>
          <w:szCs w:val="21"/>
          <w14:textFill>
            <w14:solidFill>
              <w14:schemeClr w14:val="tx1"/>
            </w14:solidFill>
          </w14:textFill>
        </w:rPr>
      </w:pPr>
    </w:p>
    <w:p>
      <w:pPr>
        <w:numPr>
          <w:ilvl w:val="0"/>
          <w:numId w:val="4"/>
        </w:numPr>
        <w:spacing w:line="288" w:lineRule="auto"/>
        <w:rPr>
          <w:rFonts w:ascii="宋体" w:hAnsi="宋体" w:eastAsia="宋体"/>
          <w:b/>
          <w:bCs/>
          <w:color w:val="000000" w:themeColor="text1"/>
          <w:kern w:val="0"/>
          <w:szCs w:val="21"/>
          <w14:textFill>
            <w14:solidFill>
              <w14:schemeClr w14:val="tx1"/>
            </w14:solidFill>
          </w14:textFill>
        </w:rPr>
      </w:pPr>
      <w:r>
        <w:rPr>
          <w:rFonts w:hint="eastAsia" w:ascii="宋体" w:hAnsi="宋体" w:eastAsia="宋体"/>
          <w:b/>
          <w:bCs/>
          <w:color w:val="000000" w:themeColor="text1"/>
          <w:kern w:val="0"/>
          <w:szCs w:val="21"/>
          <w:lang w:val="zh-TW"/>
          <w14:textFill>
            <w14:solidFill>
              <w14:schemeClr w14:val="tx1"/>
            </w14:solidFill>
          </w14:textFill>
        </w:rPr>
        <w:t>支持提供开放的API，管理员可以在控制台创建API KEY，供第三方安全设备或单位自有安全分析平台对接，便于形成统一的安全体系，</w:t>
      </w:r>
      <w:r>
        <w:rPr>
          <w:rFonts w:hint="eastAsia" w:ascii="宋体" w:hAnsi="宋体" w:eastAsia="宋体"/>
          <w:b/>
          <w:bCs/>
          <w:color w:val="000000" w:themeColor="text1"/>
          <w:kern w:val="0"/>
          <w:szCs w:val="21"/>
          <w14:textFill>
            <w14:solidFill>
              <w14:schemeClr w14:val="tx1"/>
            </w14:solidFill>
          </w14:textFill>
        </w:rPr>
        <w:t>同时支持将用户访问控制器的加密流量解密后镜像给外部系统，如态势感知等。</w:t>
      </w:r>
    </w:p>
    <w:p>
      <w:pPr>
        <w:spacing w:line="288" w:lineRule="auto"/>
        <w:rPr>
          <w:rFonts w:ascii="宋体" w:hAnsi="宋体" w:eastAsia="宋体"/>
          <w:b/>
          <w:bCs/>
          <w:color w:val="000000" w:themeColor="text1"/>
          <w:kern w:val="0"/>
          <w:szCs w:val="21"/>
          <w14:textFill>
            <w14:solidFill>
              <w14:schemeClr w14:val="tx1"/>
            </w14:solidFill>
          </w14:textFill>
        </w:rPr>
      </w:pPr>
    </w:p>
    <w:p>
      <w:pPr>
        <w:numPr>
          <w:ilvl w:val="0"/>
          <w:numId w:val="5"/>
        </w:numPr>
        <w:spacing w:line="288" w:lineRule="auto"/>
        <w:rPr>
          <w:rFonts w:ascii="宋体" w:hAnsi="宋体" w:eastAsia="宋体"/>
          <w:b/>
          <w:bCs/>
        </w:rPr>
      </w:pPr>
      <w:r>
        <w:rPr>
          <w:rFonts w:ascii="宋体" w:hAnsi="宋体" w:eastAsia="宋体"/>
          <w:b/>
          <w:bCs/>
        </w:rPr>
        <w:t>演示过程需要准备的器材、软件、网络等设施由供应商自行准备。</w:t>
      </w:r>
    </w:p>
    <w:p>
      <w:pPr>
        <w:spacing w:line="288" w:lineRule="auto"/>
        <w:rPr>
          <w:rFonts w:ascii="宋体" w:hAnsi="宋体" w:eastAsia="宋体"/>
          <w:b/>
          <w:bCs/>
          <w:color w:val="000000" w:themeColor="text1"/>
          <w:szCs w:val="21"/>
          <w14:textFill>
            <w14:solidFill>
              <w14:schemeClr w14:val="tx1"/>
            </w14:solidFill>
          </w14:textFill>
        </w:rPr>
      </w:pPr>
      <w:r>
        <w:rPr>
          <w:rFonts w:ascii="宋体" w:hAnsi="宋体" w:eastAsia="宋体"/>
          <w:b/>
          <w:bCs/>
        </w:rPr>
        <w:br w:type="textWrapping"/>
      </w:r>
      <w:r>
        <w:rPr>
          <w:rFonts w:ascii="宋体" w:hAnsi="宋体" w:eastAsia="宋体"/>
          <w:b/>
          <w:bCs/>
        </w:rPr>
        <w:t>3</w:t>
      </w:r>
      <w:r>
        <w:rPr>
          <w:rFonts w:hint="eastAsia" w:ascii="宋体" w:hAnsi="宋体" w:eastAsia="宋体"/>
          <w:b/>
          <w:bCs/>
        </w:rPr>
        <w:t>）</w:t>
      </w:r>
      <w:r>
        <w:rPr>
          <w:rFonts w:ascii="宋体" w:hAnsi="宋体" w:eastAsia="宋体"/>
          <w:b/>
          <w:bCs/>
        </w:rPr>
        <w:t>演示U盘：</w:t>
      </w:r>
      <w:r>
        <w:rPr>
          <w:rFonts w:ascii="宋体" w:hAnsi="宋体" w:eastAsia="宋体"/>
          <w:b/>
          <w:bCs/>
        </w:rPr>
        <w:br w:type="textWrapping"/>
      </w:r>
      <w:r>
        <w:rPr>
          <w:rFonts w:ascii="宋体" w:hAnsi="宋体" w:eastAsia="宋体"/>
          <w:b/>
          <w:bCs/>
        </w:rPr>
        <w:t>3.1供应商需将以上演示过程录制视频，演示时长不超过15分钟，以.mp4格式存储于U盘。（U盘中的演示视频文件因损坏等原因造成无法播放的风险由供应商自行承担）</w:t>
      </w:r>
      <w:r>
        <w:rPr>
          <w:rFonts w:ascii="宋体" w:hAnsi="宋体" w:eastAsia="宋体"/>
          <w:b/>
          <w:bCs/>
        </w:rPr>
        <w:br w:type="textWrapping"/>
      </w:r>
      <w:r>
        <w:rPr>
          <w:rFonts w:ascii="宋体" w:hAnsi="宋体" w:eastAsia="宋体"/>
          <w:b/>
          <w:bCs/>
        </w:rPr>
        <w:t>3.2 演示U盘可以EMS或顺丰邮寄形式在响应文件提交（上传）截止时间前递交，演示U盘应当密封包装并在包装上标注演示U盘、项目名称、供应商名称并加盖公章。</w:t>
      </w:r>
      <w:r>
        <w:rPr>
          <w:rFonts w:ascii="宋体" w:hAnsi="宋体" w:eastAsia="宋体"/>
          <w:b/>
          <w:bCs/>
        </w:rPr>
        <w:br w:type="textWrapping"/>
      </w:r>
      <w:r>
        <w:rPr>
          <w:rFonts w:ascii="宋体" w:hAnsi="宋体" w:eastAsia="宋体"/>
          <w:b/>
          <w:bCs/>
        </w:rPr>
        <w:t>3.3未按磋商文件要求提供演示U盘造成评审专家无法正常评审的风险由供应商自行承担。</w:t>
      </w:r>
      <w:r>
        <w:rPr>
          <w:rFonts w:ascii="宋体" w:hAnsi="宋体" w:eastAsia="宋体"/>
          <w:b/>
          <w:bCs/>
        </w:rPr>
        <w:br w:type="textWrapping"/>
      </w:r>
      <w:r>
        <w:rPr>
          <w:rFonts w:ascii="宋体" w:hAnsi="宋体" w:eastAsia="宋体"/>
          <w:b/>
          <w:bCs/>
        </w:rPr>
        <w:t>3.4▲演示环境必须是真实的软件使用/运行环境，不允许PPT、静态页面等不成熟环境演示，否则视为响应无效。未提供演示的响应无效。</w:t>
      </w:r>
    </w:p>
    <w:p>
      <w:pPr>
        <w:spacing w:line="288" w:lineRule="auto"/>
        <w:ind w:firstLine="435"/>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其他要求：</w:t>
      </w:r>
    </w:p>
    <w:p>
      <w:pPr>
        <w:widowControl/>
        <w:numPr>
          <w:ilvl w:val="0"/>
          <w:numId w:val="6"/>
        </w:numPr>
        <w:spacing w:line="288" w:lineRule="auto"/>
        <w:jc w:val="left"/>
        <w:rPr>
          <w:rFonts w:ascii="宋体" w:hAnsi="宋体" w:eastAsia="宋体" w:cs="微软雅黑"/>
          <w:color w:val="000000" w:themeColor="text1"/>
          <w:kern w:val="0"/>
          <w:szCs w:val="21"/>
          <w:lang w:val="zh-TW" w:eastAsia="zh-TW"/>
          <w14:textFill>
            <w14:solidFill>
              <w14:schemeClr w14:val="tx1"/>
            </w14:solidFill>
          </w14:textFill>
        </w:rPr>
      </w:pPr>
      <w:r>
        <w:rPr>
          <w:rFonts w:hint="eastAsia" w:ascii="宋体" w:hAnsi="宋体" w:eastAsia="宋体" w:cs="微软雅黑"/>
          <w:color w:val="000000" w:themeColor="text1"/>
          <w:kern w:val="0"/>
          <w:szCs w:val="21"/>
          <w:lang w:val="zh-TW" w:eastAsia="zh-TW"/>
          <w14:textFill>
            <w14:solidFill>
              <w14:schemeClr w14:val="tx1"/>
            </w14:solidFill>
          </w14:textFill>
        </w:rPr>
        <w:t>提供</w:t>
      </w:r>
      <w:r>
        <w:rPr>
          <w:rFonts w:hint="eastAsia" w:ascii="宋体" w:hAnsi="宋体" w:eastAsia="宋体" w:cs="微软雅黑"/>
          <w:color w:val="000000" w:themeColor="text1"/>
          <w:kern w:val="0"/>
          <w:szCs w:val="21"/>
          <w:lang w:val="zh-TW"/>
          <w14:textFill>
            <w14:solidFill>
              <w14:schemeClr w14:val="tx1"/>
            </w14:solidFill>
          </w14:textFill>
        </w:rPr>
        <w:t>三</w:t>
      </w:r>
      <w:r>
        <w:rPr>
          <w:rFonts w:hint="eastAsia" w:ascii="宋体" w:hAnsi="宋体" w:eastAsia="宋体" w:cs="微软雅黑"/>
          <w:color w:val="000000" w:themeColor="text1"/>
          <w:kern w:val="0"/>
          <w:szCs w:val="21"/>
          <w:lang w:val="zh-TW" w:eastAsia="zh-TW"/>
          <w14:textFill>
            <w14:solidFill>
              <w14:schemeClr w14:val="tx1"/>
            </w14:solidFill>
          </w14:textFill>
        </w:rPr>
        <w:t>年原厂质保，</w:t>
      </w:r>
      <w:r>
        <w:rPr>
          <w:rFonts w:hint="eastAsia" w:ascii="宋体" w:hAnsi="宋体" w:eastAsia="宋体" w:cs="微软雅黑"/>
          <w:color w:val="000000" w:themeColor="text1"/>
          <w:kern w:val="0"/>
          <w:szCs w:val="21"/>
          <w:lang w:val="zh-TW"/>
          <w14:textFill>
            <w14:solidFill>
              <w14:schemeClr w14:val="tx1"/>
            </w14:solidFill>
          </w14:textFill>
        </w:rPr>
        <w:t>最终</w:t>
      </w:r>
      <w:r>
        <w:rPr>
          <w:rFonts w:hint="eastAsia" w:ascii="宋体" w:hAnsi="宋体" w:eastAsia="宋体" w:cs="微软雅黑"/>
          <w:color w:val="000000" w:themeColor="text1"/>
          <w:kern w:val="0"/>
          <w:szCs w:val="21"/>
          <w:lang w:val="zh-TW" w:eastAsia="zh-TW"/>
          <w14:textFill>
            <w14:solidFill>
              <w14:schemeClr w14:val="tx1"/>
            </w14:solidFill>
          </w14:textFill>
        </w:rPr>
        <w:t>客户名需为“</w:t>
      </w:r>
      <w:r>
        <w:rPr>
          <w:rFonts w:hint="eastAsia" w:ascii="宋体" w:hAnsi="宋体" w:eastAsia="宋体" w:cs="微软雅黑"/>
          <w:color w:val="000000" w:themeColor="text1"/>
          <w:kern w:val="0"/>
          <w:szCs w:val="21"/>
          <w14:textFill>
            <w14:solidFill>
              <w14:schemeClr w14:val="tx1"/>
            </w14:solidFill>
          </w14:textFill>
        </w:rPr>
        <w:t>浙江机电职业技术学院</w:t>
      </w:r>
      <w:r>
        <w:rPr>
          <w:rFonts w:hint="eastAsia" w:ascii="宋体" w:hAnsi="宋体" w:eastAsia="宋体" w:cs="微软雅黑"/>
          <w:color w:val="000000" w:themeColor="text1"/>
          <w:kern w:val="0"/>
          <w:szCs w:val="21"/>
          <w:lang w:val="zh-TW" w:eastAsia="zh-TW"/>
          <w14:textFill>
            <w14:solidFill>
              <w14:schemeClr w14:val="tx1"/>
            </w14:solidFill>
          </w14:textFill>
        </w:rPr>
        <w:t>”并可向原厂查验</w:t>
      </w:r>
      <w:r>
        <w:rPr>
          <w:rFonts w:hint="eastAsia" w:ascii="宋体" w:hAnsi="宋体" w:eastAsia="宋体" w:cs="微软雅黑"/>
          <w:color w:val="000000" w:themeColor="text1"/>
          <w:kern w:val="0"/>
          <w:szCs w:val="21"/>
          <w:lang w:val="zh-TW"/>
          <w14:textFill>
            <w14:solidFill>
              <w14:schemeClr w14:val="tx1"/>
            </w14:solidFill>
          </w14:textFill>
        </w:rPr>
        <w:t>。</w:t>
      </w:r>
    </w:p>
    <w:p>
      <w:pPr>
        <w:widowControl/>
        <w:numPr>
          <w:ilvl w:val="0"/>
          <w:numId w:val="6"/>
        </w:numPr>
        <w:spacing w:line="288" w:lineRule="auto"/>
        <w:jc w:val="left"/>
        <w:rPr>
          <w:rFonts w:ascii="宋体" w:hAnsi="宋体" w:eastAsia="宋体" w:cs="微软雅黑"/>
          <w:color w:val="000000" w:themeColor="text1"/>
          <w:kern w:val="0"/>
          <w:szCs w:val="21"/>
          <w:lang w:val="zh-TW" w:eastAsia="zh-TW"/>
          <w14:textFill>
            <w14:solidFill>
              <w14:schemeClr w14:val="tx1"/>
            </w14:solidFill>
          </w14:textFill>
        </w:rPr>
      </w:pPr>
      <w:r>
        <w:rPr>
          <w:rFonts w:hint="eastAsia" w:ascii="宋体" w:hAnsi="宋体" w:eastAsia="宋体" w:cs="微软雅黑"/>
          <w:color w:val="000000" w:themeColor="text1"/>
          <w:kern w:val="0"/>
          <w:szCs w:val="21"/>
          <w:lang w:val="zh-TW" w:eastAsia="zh-TW"/>
          <w14:textFill>
            <w14:solidFill>
              <w14:schemeClr w14:val="tx1"/>
            </w14:solidFill>
          </w14:textFill>
        </w:rPr>
        <w:t>需原厂正品最新产品</w:t>
      </w:r>
      <w:r>
        <w:rPr>
          <w:rFonts w:hint="eastAsia" w:ascii="宋体" w:hAnsi="宋体" w:eastAsia="宋体" w:cs="微软雅黑"/>
          <w:color w:val="000000" w:themeColor="text1"/>
          <w:kern w:val="0"/>
          <w:szCs w:val="21"/>
          <w:lang w:val="zh-TW"/>
          <w14:textFill>
            <w14:solidFill>
              <w14:schemeClr w14:val="tx1"/>
            </w14:solidFill>
          </w14:textFill>
        </w:rPr>
        <w:t>，</w:t>
      </w:r>
      <w:r>
        <w:rPr>
          <w:rFonts w:hint="eastAsia" w:ascii="宋体" w:hAnsi="宋体" w:eastAsia="宋体" w:cs="微软雅黑"/>
          <w:color w:val="000000" w:themeColor="text1"/>
          <w:kern w:val="0"/>
          <w:szCs w:val="21"/>
          <w:lang w:val="zh-TW" w:eastAsia="zh-TW"/>
          <w14:textFill>
            <w14:solidFill>
              <w14:schemeClr w14:val="tx1"/>
            </w14:solidFill>
          </w14:textFill>
        </w:rPr>
        <w:t>不允许是淘汰设备、库存阵旧货、测试机、样机、二手和返修</w:t>
      </w:r>
      <w:r>
        <w:rPr>
          <w:rFonts w:hint="eastAsia" w:ascii="宋体" w:hAnsi="宋体" w:eastAsia="宋体" w:cs="微软雅黑"/>
          <w:color w:val="000000" w:themeColor="text1"/>
          <w:kern w:val="0"/>
          <w:szCs w:val="21"/>
          <w:lang w:val="zh-TW"/>
          <w14:textFill>
            <w14:solidFill>
              <w14:schemeClr w14:val="tx1"/>
            </w14:solidFill>
          </w14:textFill>
        </w:rPr>
        <w:t>设备</w:t>
      </w:r>
      <w:r>
        <w:rPr>
          <w:rFonts w:hint="eastAsia" w:ascii="宋体" w:hAnsi="宋体" w:eastAsia="宋体" w:cs="微软雅黑"/>
          <w:color w:val="000000" w:themeColor="text1"/>
          <w:kern w:val="0"/>
          <w:szCs w:val="21"/>
          <w:lang w:val="zh-TW" w:eastAsia="zh-TW"/>
          <w14:textFill>
            <w14:solidFill>
              <w14:schemeClr w14:val="tx1"/>
            </w14:solidFill>
          </w14:textFill>
        </w:rPr>
        <w:t>。</w:t>
      </w:r>
    </w:p>
    <w:p>
      <w:pPr>
        <w:widowControl/>
        <w:numPr>
          <w:ilvl w:val="0"/>
          <w:numId w:val="6"/>
        </w:numPr>
        <w:spacing w:line="288" w:lineRule="auto"/>
        <w:jc w:val="left"/>
        <w:rPr>
          <w:rFonts w:ascii="宋体" w:hAnsi="宋体" w:eastAsia="宋体" w:cs="微软雅黑"/>
          <w:color w:val="000000" w:themeColor="text1"/>
          <w:kern w:val="0"/>
          <w:szCs w:val="21"/>
          <w:lang w:val="zh-TW" w:eastAsia="zh-TW"/>
          <w14:textFill>
            <w14:solidFill>
              <w14:schemeClr w14:val="tx1"/>
            </w14:solidFill>
          </w14:textFill>
        </w:rPr>
      </w:pPr>
      <w:r>
        <w:rPr>
          <w:rFonts w:hint="eastAsia" w:ascii="宋体" w:hAnsi="宋体" w:eastAsia="宋体" w:cs="微软雅黑"/>
          <w:color w:val="000000" w:themeColor="text1"/>
          <w:kern w:val="0"/>
          <w:szCs w:val="21"/>
          <w:lang w:val="zh-TW" w:eastAsia="zh-TW"/>
          <w14:textFill>
            <w14:solidFill>
              <w14:schemeClr w14:val="tx1"/>
            </w14:solidFill>
          </w14:textFill>
        </w:rPr>
        <w:t>供货时限：</w:t>
      </w:r>
      <w:r>
        <w:rPr>
          <w:rFonts w:hint="eastAsia" w:ascii="宋体" w:hAnsi="宋体" w:eastAsia="宋体" w:cs="微软雅黑"/>
          <w:color w:val="000000" w:themeColor="text1"/>
          <w:kern w:val="0"/>
          <w:szCs w:val="21"/>
          <w:lang w:val="zh-TW"/>
          <w14:textFill>
            <w14:solidFill>
              <w14:schemeClr w14:val="tx1"/>
            </w14:solidFill>
          </w14:textFill>
        </w:rPr>
        <w:t>要求</w:t>
      </w:r>
      <w:r>
        <w:rPr>
          <w:rFonts w:hint="eastAsia" w:ascii="宋体" w:hAnsi="宋体" w:eastAsia="宋体" w:cs="宋体"/>
          <w:color w:val="000000" w:themeColor="text1"/>
          <w:szCs w:val="21"/>
          <w14:textFill>
            <w14:solidFill>
              <w14:schemeClr w14:val="tx1"/>
            </w14:solidFill>
          </w14:textFill>
        </w:rPr>
        <w:t>合同签订后15个日历日内完成交货并上门安装</w:t>
      </w: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微软雅黑"/>
          <w:color w:val="000000" w:themeColor="text1"/>
          <w:kern w:val="0"/>
          <w:szCs w:val="21"/>
          <w:lang w:val="zh-TW" w:eastAsia="zh-TW"/>
          <w14:textFill>
            <w14:solidFill>
              <w14:schemeClr w14:val="tx1"/>
            </w14:solidFill>
          </w14:textFill>
        </w:rPr>
        <w:t>货物由供应商送货上门，不允许快递或物流。</w:t>
      </w:r>
      <w:r>
        <w:rPr>
          <w:rFonts w:hint="eastAsia" w:ascii="宋体" w:hAnsi="宋体" w:eastAsia="宋体" w:cs="宋体"/>
          <w:color w:val="000000" w:themeColor="text1"/>
          <w:szCs w:val="21"/>
          <w14:textFill>
            <w14:solidFill>
              <w14:schemeClr w14:val="tx1"/>
            </w14:solidFill>
          </w14:textFill>
        </w:rPr>
        <w:t>供应商在合同签订后30个日历日内完成安装、调试服务。</w:t>
      </w:r>
    </w:p>
    <w:p>
      <w:pPr>
        <w:widowControl/>
        <w:numPr>
          <w:ilvl w:val="0"/>
          <w:numId w:val="6"/>
        </w:numPr>
        <w:spacing w:line="288" w:lineRule="auto"/>
        <w:jc w:val="left"/>
        <w:rPr>
          <w:rFonts w:ascii="宋体" w:hAnsi="宋体" w:eastAsia="宋体" w:cs="微软雅黑"/>
          <w:color w:val="000000" w:themeColor="text1"/>
          <w:kern w:val="0"/>
          <w:szCs w:val="21"/>
          <w:lang w:val="zh-TW" w:eastAsia="zh-TW"/>
          <w14:textFill>
            <w14:solidFill>
              <w14:schemeClr w14:val="tx1"/>
            </w14:solidFill>
          </w14:textFill>
        </w:rPr>
      </w:pPr>
      <w:r>
        <w:rPr>
          <w:rFonts w:hint="eastAsia" w:ascii="宋体" w:hAnsi="宋体" w:eastAsia="宋体" w:cs="微软雅黑"/>
          <w:color w:val="000000" w:themeColor="text1"/>
          <w:kern w:val="0"/>
          <w:szCs w:val="21"/>
          <w:lang w:val="zh-TW" w:eastAsia="zh-TW"/>
          <w14:textFill>
            <w14:solidFill>
              <w14:schemeClr w14:val="tx1"/>
            </w14:solidFill>
          </w14:textFill>
        </w:rPr>
        <w:t>验收期：</w:t>
      </w:r>
      <w:r>
        <w:rPr>
          <w:rFonts w:hint="eastAsia" w:ascii="宋体" w:hAnsi="宋体" w:eastAsia="宋体" w:cs="微软雅黑"/>
          <w:color w:val="000000" w:themeColor="text1"/>
          <w:kern w:val="0"/>
          <w:szCs w:val="21"/>
          <w:lang w:val="zh-TW"/>
          <w14:textFill>
            <w14:solidFill>
              <w14:schemeClr w14:val="tx1"/>
            </w14:solidFill>
          </w14:textFill>
        </w:rPr>
        <w:t>部署实施完成后</w:t>
      </w:r>
      <w:r>
        <w:rPr>
          <w:rFonts w:hint="eastAsia" w:ascii="宋体" w:hAnsi="宋体" w:eastAsia="宋体" w:cs="微软雅黑"/>
          <w:color w:val="000000" w:themeColor="text1"/>
          <w:kern w:val="0"/>
          <w:szCs w:val="21"/>
          <w14:textFill>
            <w14:solidFill>
              <w14:schemeClr w14:val="tx1"/>
            </w14:solidFill>
          </w14:textFill>
        </w:rPr>
        <w:t>15</w:t>
      </w:r>
      <w:r>
        <w:rPr>
          <w:rFonts w:hint="eastAsia" w:ascii="宋体" w:hAnsi="宋体" w:eastAsia="宋体" w:cs="微软雅黑"/>
          <w:color w:val="000000" w:themeColor="text1"/>
          <w:kern w:val="0"/>
          <w:szCs w:val="21"/>
          <w:lang w:val="zh-TW" w:eastAsia="zh-TW"/>
          <w14:textFill>
            <w14:solidFill>
              <w14:schemeClr w14:val="tx1"/>
            </w14:solidFill>
          </w14:textFill>
        </w:rPr>
        <w:t>个工作日</w:t>
      </w:r>
      <w:r>
        <w:rPr>
          <w:rFonts w:hint="eastAsia" w:ascii="宋体" w:hAnsi="宋体" w:eastAsia="宋体" w:cs="微软雅黑"/>
          <w:color w:val="000000" w:themeColor="text1"/>
          <w:kern w:val="0"/>
          <w:szCs w:val="21"/>
          <w:lang w:val="zh-TW"/>
          <w14:textFill>
            <w14:solidFill>
              <w14:schemeClr w14:val="tx1"/>
            </w14:solidFill>
          </w14:textFill>
        </w:rPr>
        <w:t>内</w:t>
      </w:r>
      <w:r>
        <w:rPr>
          <w:rFonts w:hint="eastAsia" w:ascii="宋体" w:hAnsi="宋体" w:eastAsia="宋体" w:cs="微软雅黑"/>
          <w:color w:val="000000" w:themeColor="text1"/>
          <w:kern w:val="0"/>
          <w:szCs w:val="21"/>
          <w:lang w:val="zh-TW" w:eastAsia="zh-TW"/>
          <w14:textFill>
            <w14:solidFill>
              <w14:schemeClr w14:val="tx1"/>
            </w14:solidFill>
          </w14:textFill>
        </w:rPr>
        <w:t>。</w:t>
      </w:r>
    </w:p>
    <w:p>
      <w:pPr>
        <w:widowControl/>
        <w:numPr>
          <w:ilvl w:val="0"/>
          <w:numId w:val="6"/>
        </w:numPr>
        <w:spacing w:line="288" w:lineRule="auto"/>
        <w:jc w:val="left"/>
        <w:rPr>
          <w:rFonts w:ascii="宋体" w:hAnsi="宋体" w:eastAsia="宋体" w:cs="微软雅黑"/>
          <w:color w:val="000000" w:themeColor="text1"/>
          <w:kern w:val="0"/>
          <w:szCs w:val="21"/>
          <w:lang w:val="zh-TW" w:eastAsia="zh-TW"/>
          <w14:textFill>
            <w14:solidFill>
              <w14:schemeClr w14:val="tx1"/>
            </w14:solidFill>
          </w14:textFill>
        </w:rPr>
      </w:pPr>
      <w:r>
        <w:rPr>
          <w:rFonts w:hint="eastAsia" w:ascii="宋体" w:hAnsi="宋体" w:eastAsia="宋体" w:cs="微软雅黑"/>
          <w:color w:val="000000" w:themeColor="text1"/>
          <w:kern w:val="0"/>
          <w:szCs w:val="21"/>
          <w14:textFill>
            <w14:solidFill>
              <w14:schemeClr w14:val="tx1"/>
            </w14:solidFill>
          </w14:textFill>
        </w:rPr>
        <w:t>VPN</w:t>
      </w:r>
      <w:r>
        <w:rPr>
          <w:rFonts w:hint="eastAsia" w:ascii="宋体" w:hAnsi="宋体" w:eastAsia="宋体" w:cs="微软雅黑"/>
          <w:color w:val="000000" w:themeColor="text1"/>
          <w:kern w:val="0"/>
          <w:szCs w:val="21"/>
          <w:lang w:val="zh-TW" w:eastAsia="zh-TW"/>
          <w14:textFill>
            <w14:solidFill>
              <w14:schemeClr w14:val="tx1"/>
            </w14:solidFill>
          </w14:textFill>
        </w:rPr>
        <w:t>供应商售后必须提供7×24小时电话故障响应服务和3小时现场故障响应服务。</w:t>
      </w:r>
    </w:p>
    <w:p>
      <w:pPr>
        <w:pStyle w:val="11"/>
        <w:rPr>
          <w:rStyle w:val="58"/>
        </w:rPr>
      </w:pPr>
    </w:p>
    <w:p>
      <w:pPr>
        <w:numPr>
          <w:ilvl w:val="0"/>
          <w:numId w:val="3"/>
        </w:numPr>
        <w:spacing w:line="288" w:lineRule="auto"/>
        <w:jc w:val="left"/>
        <w:outlineLvl w:val="3"/>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身份认证系统</w:t>
      </w:r>
    </w:p>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8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指标项</w:t>
            </w: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restar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用户认证管理部署要求</w:t>
            </w:r>
          </w:p>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系统提供≥4个10G，≥4个千兆光，≥4个千兆电口专用设备，冗余电源，提供开户用户数不限制，并发用户≥20000；根据国家相关法律法规要求，专用设备必须预装国产化操作系统，需提供预装国产化操作系统名称及版本信息，不得使用开源操作系统或自由操作系统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提供高性能用户认证平台：认证平台需具有开放性，具有良好的兼容性，能与主流品牌(锐捷、华为，Juniper,中兴，H3C,Cisco)无线AC或BRAS对接，提供无感知认证模块：可以实现基于MAC和802.1x 的用户无感知认证功能，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提供高性能Poral平台：提供配合无线AC或多业务路由器弹出用户定制的认证页面，提供方便的用户自助服务平台，实现用户自助，实现多种AC的外置Portal对接，和COA策略下发。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提供用户及策略平台：实现用户/用户组管理、策略单管理、查询统计、系统管理、权限管理等各种功能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根据国家相关法律法规要求，认证系统必须能够部署在国产操作系统中，不接受任何非国产操作系统及自有操作系统平台。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根据国家相关法律法规要求，认证系统必须能够部署在国产数据库环境中，不接受任何非国产数据库环境及开源数据库环境；</w:t>
            </w:r>
            <w:r>
              <w:rPr>
                <w:rFonts w:hint="eastAsia" w:ascii="宋体" w:hAnsi="宋体" w:eastAsia="宋体" w:cs="宋体"/>
                <w:b/>
                <w:bCs/>
                <w:color w:val="000000" w:themeColor="text1"/>
                <w:kern w:val="0"/>
                <w:szCs w:val="21"/>
                <w:lang w:bidi="ar"/>
                <w14:textFill>
                  <w14:solidFill>
                    <w14:schemeClr w14:val="tx1"/>
                  </w14:solidFill>
                </w14:textFill>
              </w:rPr>
              <w:t>投标时需提供国产数据库适配证明。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提供统一用户管理系统及数字化校园对接模块：实现和校内数字化校园、统一认证中心、统一用户数据库、邮件系统的对接，实现校内统一认证、管理及策略权限分发的功能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提供无感知认证模块：可以实现基于MAC和802.1x 的用户无感知认证功能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系统架构必须为为Nginx+PHP+MYSQL+Redis,从而满足安全、稳定、易扩展的要求；认证模块必须采用Redis高性能数据库架构设计。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认证平台需支持无线主流品牌（华为，H3C,Cisco）平台认证的对接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restar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用户认证管理性能要求</w:t>
            </w: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支持的认证方式：PPPoE认证，Web portal认证，DHCP+Portal认证、802.1x认证，IPoE认证，L2TP认证，MAC认证、VLAN认证、令牌认证、智能卡认证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认证计费软件用户容量：开户数不限制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认证计费软件同时在线用户数：需具备用户同时在线用户数≥30000用户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认证计费软件每秒新增Radius鉴权数； ≥2000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6" w:type="pct"/>
            <w:vMerge w:val="restar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IPv4及IPv6 认证功能要求</w:t>
            </w: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提供认证系统，能与学校现有核心设备进行IPv4及IPv6用户上网认证实现用户的认证、管理、策略下发和监控功能；同时能够兼容主流核心交换机、BRAS及路由器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IPv6 支持:具备IPv6 用户认证、管理、策略下发、计费功能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系统能够支持无线有线统一帐号的一体化认证计费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具备多种形式的本地账户的自注册服务，提供学校需求的方式；并支持批量新增、删除、修改本地账户。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具备消息策略功能，实现用户策略（流量、时长）使用达到阀值后为用户发送短信或微信通知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提供高效的系统数据的增删改查速度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能够实现冗余布置，提高系统稳定性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提供IPv6无感知认证功能：实现基于二元素（终端类型、mac地址、）无感知认证体系，实现终端类型、MAC地址和用户信息绑定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系统支持定时的本地和远程的全自动数据备份，并可以通过Web管理界面进行数据恢复；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 xml:space="preserve">投标时提供IPv6管理系统的软件著作权证书及IPv6 Ready 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86" w:type="pct"/>
            <w:vMerge w:val="restar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eduroam 国际漫游认证管理</w:t>
            </w: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提供eduroam智能接入服务，快捷接入中国地区的eduroam系统，提供智能策略控制服务，具有灵活的策略引擎，便于控制eduroam的策略，区分校内、校外；国内用户、国际用户等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eduroam用户管理服务，能够根据策略下发、制定、管理eduroam的用户，智能分析服务，具有完善的eduroam的统计、分析及报表功能。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提供对eduroam直观的图形化管理：漫游区域控制、访客并发数控制、使用时间/使用流量控制、访客实时在线情况、访客历史、访客使用明细、学校访客使用统计区域分布、来访问学校使用量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实现对不同校区eduroam用户下发不同控制策略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eduroam认证系统安全管控及服务等相关功能，提供eduroam 实名认证功能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6" w:type="pct"/>
            <w:vMerge w:val="restar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多样化的访客功能要求</w:t>
            </w: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预置普通访客、团体访客、长期访客、会议室访客、新生访客等常用访客角色，方便管理者快速配置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支持访客申请、审批、授权、分发、审计、下线、冷却、销户的全生命周期管理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灵活的实名审核模式：访客扫二维码获取短信验证码、员工扫访客二维码，团体访客扫描会议二维码、后台预约审核等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多样化账号审核通知方式： 短信、email、微信推送、Web方式通知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访客认证支持方式方式：二维码、短信、钉钉、校园APP等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访客账号类型需支持以下内容：</w:t>
            </w:r>
          </w:p>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1.访客验证码（邮件、短信、校园APP下发）</w:t>
            </w:r>
          </w:p>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2.批量发送验证码（邮件、短信、校园APP下发）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可配置细致的访客审核权限，提供给不同访客场景独立的访客审核管理权限，角色权限包括：访客申请审核页面、审批访客类型、是否允许审核、最大审核期限、最大审核人数、批量导入权限、访客组控制策略配置、指定访客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支持多维度可视化分析，包括：访客在线实时监控、各访客类别/访客组用量分布、资费、上线次数、人数统计、访客充值统计、访客无感知统计、访客外部认证统计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认证系统必须具有配套访客认证管理系统的单独软件著作权证书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6"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产品资质要求</w:t>
            </w: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认证系统必须具有用户认证管理系统产品的软件著作权证书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6" w:type="pct"/>
            <w:vMerge w:val="restar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售后服务和技术支持</w:t>
            </w: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提供做到7×24小时专家在线服务； 如远程无法解决或遇到重大系统故障，必须在8小时内到达现场排除故障；如出现硬件故障，须在24小时提供相应的备用设备以排除故障。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提供不少于3年的免费现场服务，服务内容包括软件版本升级、提供补丁、功能维护、咨询和用户提出的不超过合同范围的功能修改，免费服务期自系统安装验收合格之日起开始计算；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86" w:type="pct"/>
            <w:vMerge w:val="continue"/>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p>
        </w:tc>
        <w:tc>
          <w:tcPr>
            <w:tcW w:w="4214" w:type="pct"/>
            <w:tcBorders>
              <w:tl2br w:val="nil"/>
              <w:tr2bl w:val="nil"/>
            </w:tcBorders>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本项目为交钥匙工程，在项目实施中所产生的调研、开发费用、接口费用、实施、维护过程所需的费用均由投标商承担。</w:t>
            </w:r>
          </w:p>
        </w:tc>
      </w:tr>
    </w:tbl>
    <w:p>
      <w:pPr>
        <w:spacing w:line="288" w:lineRule="auto"/>
        <w:rPr>
          <w:rFonts w:ascii="宋体" w:hAnsi="宋体" w:eastAsia="宋体"/>
          <w:color w:val="000000" w:themeColor="text1"/>
          <w:szCs w:val="21"/>
          <w14:textFill>
            <w14:solidFill>
              <w14:schemeClr w14:val="tx1"/>
            </w14:solidFill>
          </w14:textFill>
        </w:rPr>
      </w:pPr>
    </w:p>
    <w:p>
      <w:pPr>
        <w:pStyle w:val="19"/>
        <w:spacing w:after="120"/>
        <w:rPr>
          <w:rFonts w:hint="default"/>
        </w:rPr>
      </w:pPr>
    </w:p>
    <w:p>
      <w:pPr>
        <w:numPr>
          <w:ilvl w:val="0"/>
          <w:numId w:val="3"/>
        </w:numPr>
        <w:spacing w:line="288" w:lineRule="auto"/>
        <w:jc w:val="left"/>
        <w:outlineLvl w:val="3"/>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交换机（48口1000M/10G上行）</w:t>
      </w:r>
    </w:p>
    <w:p>
      <w:pPr>
        <w:spacing w:line="288" w:lineRule="auto"/>
        <w:rPr>
          <w:rFonts w:ascii="宋体" w:hAnsi="宋体" w:eastAsia="宋体"/>
          <w:color w:val="000000" w:themeColor="text1"/>
          <w:szCs w:val="21"/>
          <w14:textFill>
            <w14:solidFill>
              <w14:schemeClr w14:val="tx1"/>
            </w14:solidFill>
          </w14:textFill>
        </w:rPr>
      </w:pPr>
    </w:p>
    <w:tbl>
      <w:tblPr>
        <w:tblStyle w:val="23"/>
        <w:tblW w:w="8544" w:type="dxa"/>
        <w:tblInd w:w="-5" w:type="dxa"/>
        <w:tblLayout w:type="fixed"/>
        <w:tblCellMar>
          <w:top w:w="0" w:type="dxa"/>
          <w:left w:w="108" w:type="dxa"/>
          <w:bottom w:w="0" w:type="dxa"/>
          <w:right w:w="108" w:type="dxa"/>
        </w:tblCellMar>
      </w:tblPr>
      <w:tblGrid>
        <w:gridCol w:w="1344"/>
        <w:gridCol w:w="7200"/>
      </w:tblGrid>
      <w:tr>
        <w:tblPrEx>
          <w:tblCellMar>
            <w:top w:w="0" w:type="dxa"/>
            <w:left w:w="108" w:type="dxa"/>
            <w:bottom w:w="0" w:type="dxa"/>
            <w:right w:w="108" w:type="dxa"/>
          </w:tblCellMar>
        </w:tblPrEx>
        <w:trPr>
          <w:trHeight w:val="288"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指标项</w:t>
            </w:r>
          </w:p>
        </w:tc>
        <w:tc>
          <w:tcPr>
            <w:tcW w:w="7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参数要求</w:t>
            </w:r>
          </w:p>
        </w:tc>
      </w:tr>
      <w:tr>
        <w:tblPrEx>
          <w:tblCellMar>
            <w:top w:w="0" w:type="dxa"/>
            <w:left w:w="108" w:type="dxa"/>
            <w:bottom w:w="0" w:type="dxa"/>
            <w:right w:w="108" w:type="dxa"/>
          </w:tblCellMar>
        </w:tblPrEx>
        <w:trPr>
          <w:trHeight w:val="288"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性能规格</w:t>
            </w:r>
          </w:p>
        </w:tc>
        <w:tc>
          <w:tcPr>
            <w:tcW w:w="7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交换容量≥430Gbps（以官网最小值为准）</w:t>
            </w:r>
          </w:p>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转发性能≥140Mpps（以官网最小值为准）</w:t>
            </w:r>
          </w:p>
        </w:tc>
      </w:tr>
      <w:tr>
        <w:tblPrEx>
          <w:tblCellMar>
            <w:top w:w="0" w:type="dxa"/>
            <w:left w:w="108" w:type="dxa"/>
            <w:bottom w:w="0" w:type="dxa"/>
            <w:right w:w="108" w:type="dxa"/>
          </w:tblCellMar>
        </w:tblPrEx>
        <w:trPr>
          <w:trHeight w:val="288"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硬件规格</w:t>
            </w:r>
          </w:p>
        </w:tc>
        <w:tc>
          <w:tcPr>
            <w:tcW w:w="7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千兆电口≥48个，万兆SFP+端口≥4个</w:t>
            </w:r>
          </w:p>
        </w:tc>
      </w:tr>
      <w:tr>
        <w:tblPrEx>
          <w:tblCellMar>
            <w:top w:w="0" w:type="dxa"/>
            <w:left w:w="108" w:type="dxa"/>
            <w:bottom w:w="0" w:type="dxa"/>
            <w:right w:w="108" w:type="dxa"/>
          </w:tblCellMar>
        </w:tblPrEx>
        <w:trPr>
          <w:trHeight w:val="288"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工作环境</w:t>
            </w:r>
          </w:p>
        </w:tc>
        <w:tc>
          <w:tcPr>
            <w:tcW w:w="7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工作环境温度0ºC～40ºC </w:t>
            </w:r>
          </w:p>
        </w:tc>
      </w:tr>
      <w:tr>
        <w:tblPrEx>
          <w:tblCellMar>
            <w:top w:w="0" w:type="dxa"/>
            <w:left w:w="108" w:type="dxa"/>
            <w:bottom w:w="0" w:type="dxa"/>
            <w:right w:w="108" w:type="dxa"/>
          </w:tblCellMar>
        </w:tblPrEx>
        <w:trPr>
          <w:trHeight w:val="288"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VLAN特性</w:t>
            </w:r>
          </w:p>
        </w:tc>
        <w:tc>
          <w:tcPr>
            <w:tcW w:w="7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支持基于端口的VLAN，支持基于协议的VLAN</w:t>
            </w:r>
          </w:p>
        </w:tc>
      </w:tr>
      <w:tr>
        <w:tblPrEx>
          <w:tblCellMar>
            <w:top w:w="0" w:type="dxa"/>
            <w:left w:w="108" w:type="dxa"/>
            <w:bottom w:w="0" w:type="dxa"/>
            <w:right w:w="108" w:type="dxa"/>
          </w:tblCellMar>
        </w:tblPrEx>
        <w:trPr>
          <w:trHeight w:val="576"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虚拟化特性</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支持跨设备链路聚合，或支持通过标准以太端口进行堆叠；支持纵向虚拟化技术</w:t>
            </w:r>
          </w:p>
        </w:tc>
      </w:tr>
      <w:tr>
        <w:tblPrEx>
          <w:tblCellMar>
            <w:top w:w="0" w:type="dxa"/>
            <w:left w:w="108" w:type="dxa"/>
            <w:bottom w:w="0" w:type="dxa"/>
            <w:right w:w="108" w:type="dxa"/>
          </w:tblCellMar>
        </w:tblPrEx>
        <w:trPr>
          <w:trHeight w:val="288"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可视化</w:t>
            </w:r>
          </w:p>
        </w:tc>
        <w:tc>
          <w:tcPr>
            <w:tcW w:w="7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支持Telemetry技术，</w:t>
            </w:r>
          </w:p>
        </w:tc>
      </w:tr>
      <w:tr>
        <w:tblPrEx>
          <w:tblCellMar>
            <w:top w:w="0" w:type="dxa"/>
            <w:left w:w="108" w:type="dxa"/>
            <w:bottom w:w="0" w:type="dxa"/>
            <w:right w:w="108" w:type="dxa"/>
          </w:tblCellMar>
        </w:tblPrEx>
        <w:trPr>
          <w:trHeight w:val="576"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SDN/OPENFLOW</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支持SDN网络协议纳管，或支持OPENFLOW 1.3标准支持普通模式和Openflow 模式切换</w:t>
            </w:r>
          </w:p>
        </w:tc>
      </w:tr>
      <w:tr>
        <w:tblPrEx>
          <w:tblCellMar>
            <w:top w:w="0" w:type="dxa"/>
            <w:left w:w="108" w:type="dxa"/>
            <w:bottom w:w="0" w:type="dxa"/>
            <w:right w:w="108" w:type="dxa"/>
          </w:tblCellMar>
        </w:tblPrEx>
        <w:trPr>
          <w:trHeight w:val="576"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智能网管</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支持或实配网管平台实现网络设备智能管理</w:t>
            </w:r>
          </w:p>
        </w:tc>
      </w:tr>
      <w:tr>
        <w:tblPrEx>
          <w:tblCellMar>
            <w:top w:w="0" w:type="dxa"/>
            <w:left w:w="108" w:type="dxa"/>
            <w:bottom w:w="0" w:type="dxa"/>
            <w:right w:w="108" w:type="dxa"/>
          </w:tblCellMar>
        </w:tblPrEx>
        <w:trPr>
          <w:trHeight w:val="288"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环网保护</w:t>
            </w:r>
          </w:p>
        </w:tc>
        <w:tc>
          <w:tcPr>
            <w:tcW w:w="7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支持G.8032以太网环保护协议ERPS、切换时间≤50ms，支持SmartLink；</w:t>
            </w:r>
          </w:p>
        </w:tc>
      </w:tr>
      <w:tr>
        <w:tblPrEx>
          <w:tblCellMar>
            <w:top w:w="0" w:type="dxa"/>
            <w:left w:w="108" w:type="dxa"/>
            <w:bottom w:w="0" w:type="dxa"/>
            <w:right w:w="108" w:type="dxa"/>
          </w:tblCellMar>
        </w:tblPrEx>
        <w:trPr>
          <w:trHeight w:val="9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产品资质</w:t>
            </w:r>
          </w:p>
        </w:tc>
        <w:tc>
          <w:tcPr>
            <w:tcW w:w="7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Times New Roman"/>
                <w:b/>
                <w:bCs/>
                <w:spacing w:val="-6"/>
                <w:szCs w:val="21"/>
              </w:rPr>
              <w:t>▲</w:t>
            </w:r>
            <w:r>
              <w:rPr>
                <w:rFonts w:hint="eastAsia" w:ascii="宋体" w:hAnsi="宋体" w:eastAsia="宋体" w:cs="宋体"/>
                <w:b/>
                <w:bCs/>
                <w:color w:val="000000" w:themeColor="text1"/>
                <w:kern w:val="0"/>
                <w:szCs w:val="21"/>
                <w:lang w:bidi="ar"/>
                <w14:textFill>
                  <w14:solidFill>
                    <w14:schemeClr w14:val="tx1"/>
                  </w14:solidFill>
                </w14:textFill>
              </w:rPr>
              <w:t>提供工信部入网证</w:t>
            </w:r>
          </w:p>
        </w:tc>
      </w:tr>
      <w:tr>
        <w:tblPrEx>
          <w:tblCellMar>
            <w:top w:w="0" w:type="dxa"/>
            <w:left w:w="108" w:type="dxa"/>
            <w:bottom w:w="0" w:type="dxa"/>
            <w:right w:w="108" w:type="dxa"/>
          </w:tblCellMar>
        </w:tblPrEx>
        <w:trPr>
          <w:trHeight w:val="288"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配置</w:t>
            </w:r>
          </w:p>
        </w:tc>
        <w:tc>
          <w:tcPr>
            <w:tcW w:w="7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满配万兆光模块</w:t>
            </w:r>
          </w:p>
        </w:tc>
      </w:tr>
    </w:tbl>
    <w:p>
      <w:pPr>
        <w:spacing w:line="288" w:lineRule="auto"/>
        <w:rPr>
          <w:rFonts w:ascii="宋体" w:hAnsi="宋体" w:eastAsia="宋体"/>
          <w:color w:val="000000" w:themeColor="text1"/>
          <w:szCs w:val="21"/>
          <w14:textFill>
            <w14:solidFill>
              <w14:schemeClr w14:val="tx1"/>
            </w14:solidFill>
          </w14:textFill>
        </w:rPr>
      </w:pPr>
    </w:p>
    <w:p>
      <w:pPr>
        <w:spacing w:line="288" w:lineRule="auto"/>
        <w:rPr>
          <w:rFonts w:ascii="宋体" w:hAnsi="宋体" w:eastAsia="宋体"/>
          <w:color w:val="000000" w:themeColor="text1"/>
          <w:szCs w:val="21"/>
          <w14:textFill>
            <w14:solidFill>
              <w14:schemeClr w14:val="tx1"/>
            </w14:solidFill>
          </w14:textFill>
        </w:rPr>
      </w:pPr>
    </w:p>
    <w:p>
      <w:pPr>
        <w:spacing w:line="288" w:lineRule="auto"/>
        <w:rPr>
          <w:rFonts w:ascii="宋体" w:hAnsi="宋体" w:eastAsia="宋体"/>
          <w:color w:val="000000" w:themeColor="text1"/>
          <w:szCs w:val="21"/>
          <w14:textFill>
            <w14:solidFill>
              <w14:schemeClr w14:val="tx1"/>
            </w14:solidFill>
          </w14:textFill>
        </w:rPr>
      </w:pPr>
    </w:p>
    <w:p>
      <w:pPr>
        <w:numPr>
          <w:ilvl w:val="0"/>
          <w:numId w:val="3"/>
        </w:numPr>
        <w:spacing w:line="288" w:lineRule="auto"/>
        <w:jc w:val="left"/>
        <w:outlineLvl w:val="3"/>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交换机（24口10G光纤三层）</w:t>
      </w:r>
    </w:p>
    <w:p>
      <w:pPr>
        <w:spacing w:line="288" w:lineRule="auto"/>
        <w:rPr>
          <w:rFonts w:ascii="宋体" w:hAnsi="宋体" w:eastAsia="宋体"/>
          <w:color w:val="000000" w:themeColor="text1"/>
          <w:szCs w:val="21"/>
          <w14:textFill>
            <w14:solidFill>
              <w14:schemeClr w14:val="tx1"/>
            </w14:solidFill>
          </w14:textFill>
        </w:rPr>
      </w:pPr>
    </w:p>
    <w:p>
      <w:pPr>
        <w:spacing w:line="288" w:lineRule="auto"/>
        <w:rPr>
          <w:rFonts w:ascii="宋体" w:hAnsi="宋体" w:eastAsia="宋体"/>
          <w:color w:val="000000" w:themeColor="text1"/>
          <w:szCs w:val="21"/>
          <w14:textFill>
            <w14:solidFill>
              <w14:schemeClr w14:val="tx1"/>
            </w14:solidFill>
          </w14:textFill>
        </w:rPr>
      </w:pPr>
    </w:p>
    <w:tbl>
      <w:tblPr>
        <w:tblStyle w:val="23"/>
        <w:tblW w:w="8455" w:type="dxa"/>
        <w:tblInd w:w="96" w:type="dxa"/>
        <w:tblLayout w:type="fixed"/>
        <w:tblCellMar>
          <w:top w:w="0" w:type="dxa"/>
          <w:left w:w="108" w:type="dxa"/>
          <w:bottom w:w="0" w:type="dxa"/>
          <w:right w:w="108" w:type="dxa"/>
        </w:tblCellMar>
      </w:tblPr>
      <w:tblGrid>
        <w:gridCol w:w="1243"/>
        <w:gridCol w:w="7212"/>
      </w:tblGrid>
      <w:tr>
        <w:tblPrEx>
          <w:tblCellMar>
            <w:top w:w="0" w:type="dxa"/>
            <w:left w:w="108" w:type="dxa"/>
            <w:bottom w:w="0" w:type="dxa"/>
            <w:right w:w="108" w:type="dxa"/>
          </w:tblCellMar>
        </w:tblPrEx>
        <w:trPr>
          <w:trHeight w:val="288"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指标项</w:t>
            </w:r>
          </w:p>
        </w:tc>
        <w:tc>
          <w:tcPr>
            <w:tcW w:w="7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参数要求</w:t>
            </w:r>
          </w:p>
        </w:tc>
      </w:tr>
      <w:tr>
        <w:tblPrEx>
          <w:tblCellMar>
            <w:top w:w="0" w:type="dxa"/>
            <w:left w:w="108" w:type="dxa"/>
            <w:bottom w:w="0" w:type="dxa"/>
            <w:right w:w="108" w:type="dxa"/>
          </w:tblCellMar>
        </w:tblPrEx>
        <w:trPr>
          <w:trHeight w:val="288"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性能规格</w:t>
            </w:r>
          </w:p>
        </w:tc>
        <w:tc>
          <w:tcPr>
            <w:tcW w:w="7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交换容量≥2.56Tbps，转发性能≥720Mpps；（以官网最小值为准）</w:t>
            </w:r>
          </w:p>
        </w:tc>
      </w:tr>
      <w:tr>
        <w:tblPrEx>
          <w:tblCellMar>
            <w:top w:w="0" w:type="dxa"/>
            <w:left w:w="108" w:type="dxa"/>
            <w:bottom w:w="0" w:type="dxa"/>
            <w:right w:w="108" w:type="dxa"/>
          </w:tblCellMar>
        </w:tblPrEx>
        <w:trPr>
          <w:trHeight w:val="576"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接口要求</w:t>
            </w:r>
          </w:p>
        </w:tc>
        <w:tc>
          <w:tcPr>
            <w:tcW w:w="7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≥24个1/10G SFP+端口，≥</w:t>
            </w:r>
            <w:r>
              <w:rPr>
                <w:rFonts w:ascii="宋体" w:hAnsi="宋体" w:eastAsia="宋体" w:cs="宋体"/>
                <w:color w:val="000000" w:themeColor="text1"/>
                <w:kern w:val="0"/>
                <w:szCs w:val="21"/>
                <w:lang w:bidi="ar"/>
                <w14:textFill>
                  <w14:solidFill>
                    <w14:schemeClr w14:val="tx1"/>
                  </w14:solidFill>
                </w14:textFill>
              </w:rPr>
              <w:t>6</w:t>
            </w:r>
            <w:r>
              <w:rPr>
                <w:rFonts w:hint="eastAsia" w:ascii="宋体" w:hAnsi="宋体" w:eastAsia="宋体" w:cs="宋体"/>
                <w:color w:val="000000" w:themeColor="text1"/>
                <w:kern w:val="0"/>
                <w:szCs w:val="21"/>
                <w:lang w:bidi="ar"/>
                <w14:textFill>
                  <w14:solidFill>
                    <w14:schemeClr w14:val="tx1"/>
                  </w14:solidFill>
                </w14:textFill>
              </w:rPr>
              <w:t>个40G QSFP+端口，冗余电源模块，冗余风扇模块</w:t>
            </w:r>
          </w:p>
        </w:tc>
      </w:tr>
      <w:tr>
        <w:tblPrEx>
          <w:tblCellMar>
            <w:top w:w="0" w:type="dxa"/>
            <w:left w:w="108" w:type="dxa"/>
            <w:bottom w:w="0" w:type="dxa"/>
            <w:right w:w="108" w:type="dxa"/>
          </w:tblCellMar>
        </w:tblPrEx>
        <w:trPr>
          <w:trHeight w:val="288"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工作环境</w:t>
            </w:r>
          </w:p>
        </w:tc>
        <w:tc>
          <w:tcPr>
            <w:tcW w:w="7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工作环境温度：</w:t>
            </w:r>
            <w:r>
              <w:rPr>
                <w:rFonts w:ascii="宋体" w:hAnsi="宋体" w:eastAsia="宋体" w:cs="宋体"/>
                <w:color w:val="000000" w:themeColor="text1"/>
                <w:kern w:val="0"/>
                <w:szCs w:val="21"/>
                <w:lang w:bidi="ar"/>
                <w14:textFill>
                  <w14:solidFill>
                    <w14:schemeClr w14:val="tx1"/>
                  </w14:solidFill>
                </w14:textFill>
              </w:rPr>
              <w:t>0</w:t>
            </w:r>
            <w:r>
              <w:rPr>
                <w:rFonts w:hint="eastAsia" w:ascii="宋体" w:hAnsi="宋体" w:eastAsia="宋体" w:cs="宋体"/>
                <w:color w:val="000000" w:themeColor="text1"/>
                <w:kern w:val="0"/>
                <w:szCs w:val="21"/>
                <w:lang w:bidi="ar"/>
                <w14:textFill>
                  <w14:solidFill>
                    <w14:schemeClr w14:val="tx1"/>
                  </w14:solidFill>
                </w14:textFill>
              </w:rPr>
              <w:t>ºC～4</w:t>
            </w:r>
            <w:r>
              <w:rPr>
                <w:rFonts w:ascii="宋体" w:hAnsi="宋体" w:eastAsia="宋体" w:cs="宋体"/>
                <w:color w:val="000000" w:themeColor="text1"/>
                <w:kern w:val="0"/>
                <w:szCs w:val="21"/>
                <w:lang w:bidi="ar"/>
                <w14:textFill>
                  <w14:solidFill>
                    <w14:schemeClr w14:val="tx1"/>
                  </w14:solidFill>
                </w14:textFill>
              </w:rPr>
              <w:t>0</w:t>
            </w:r>
            <w:r>
              <w:rPr>
                <w:rFonts w:hint="eastAsia" w:ascii="宋体" w:hAnsi="宋体" w:eastAsia="宋体" w:cs="宋体"/>
                <w:color w:val="000000" w:themeColor="text1"/>
                <w:kern w:val="0"/>
                <w:szCs w:val="21"/>
                <w:lang w:bidi="ar"/>
                <w14:textFill>
                  <w14:solidFill>
                    <w14:schemeClr w14:val="tx1"/>
                  </w14:solidFill>
                </w14:textFill>
              </w:rPr>
              <w:t>ºC</w:t>
            </w:r>
          </w:p>
        </w:tc>
      </w:tr>
      <w:tr>
        <w:tblPrEx>
          <w:tblCellMar>
            <w:top w:w="0" w:type="dxa"/>
            <w:left w:w="108" w:type="dxa"/>
            <w:bottom w:w="0" w:type="dxa"/>
            <w:right w:w="108" w:type="dxa"/>
          </w:tblCellMar>
        </w:tblPrEx>
        <w:trPr>
          <w:trHeight w:val="864"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性能指标</w:t>
            </w:r>
          </w:p>
        </w:tc>
        <w:tc>
          <w:tcPr>
            <w:tcW w:w="7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MAC地址表≥128K、路由表容量≥64K、ARP表≥64K、ACL≥2K</w:t>
            </w:r>
          </w:p>
        </w:tc>
      </w:tr>
      <w:tr>
        <w:tblPrEx>
          <w:tblCellMar>
            <w:top w:w="0" w:type="dxa"/>
            <w:left w:w="108" w:type="dxa"/>
            <w:bottom w:w="0" w:type="dxa"/>
            <w:right w:w="108" w:type="dxa"/>
          </w:tblCellMar>
        </w:tblPrEx>
        <w:trPr>
          <w:trHeight w:val="576"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VxLAN</w:t>
            </w:r>
          </w:p>
        </w:tc>
        <w:tc>
          <w:tcPr>
            <w:tcW w:w="7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支持VXLAN 二层交换，支持VXLAN 路由交换</w:t>
            </w:r>
          </w:p>
        </w:tc>
      </w:tr>
      <w:tr>
        <w:tblPrEx>
          <w:tblCellMar>
            <w:top w:w="0" w:type="dxa"/>
            <w:left w:w="108" w:type="dxa"/>
            <w:bottom w:w="0" w:type="dxa"/>
            <w:right w:w="108" w:type="dxa"/>
          </w:tblCellMar>
        </w:tblPrEx>
        <w:trPr>
          <w:trHeight w:val="1152"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路由协议</w:t>
            </w:r>
          </w:p>
        </w:tc>
        <w:tc>
          <w:tcPr>
            <w:tcW w:w="7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支持IPv4静态路由、RIP V1/V2、OSPF、BGP、ISIS ，支持IPv6静态路由、RIPng、OSPFv3、BGP4+,支持IPv4和IPv6环境下的策略路由， 支持IPv6手动隧道、6to4隧道</w:t>
            </w:r>
          </w:p>
        </w:tc>
      </w:tr>
      <w:tr>
        <w:tblPrEx>
          <w:tblCellMar>
            <w:top w:w="0" w:type="dxa"/>
            <w:left w:w="108" w:type="dxa"/>
            <w:bottom w:w="0" w:type="dxa"/>
            <w:right w:w="108" w:type="dxa"/>
          </w:tblCellMar>
        </w:tblPrEx>
        <w:trPr>
          <w:trHeight w:val="864"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可靠性</w:t>
            </w:r>
          </w:p>
        </w:tc>
        <w:tc>
          <w:tcPr>
            <w:tcW w:w="7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支持BFD FOR VRRP功能，支持 RSTP 功能、MSTP 功能、ERPS 功能、RRPP 功能、 SmartLink功能、PVST 功能，并且收敛时间均在 50ms 之内，</w:t>
            </w:r>
            <w:r>
              <w:rPr>
                <w:rFonts w:hint="eastAsia" w:ascii="宋体" w:hAnsi="宋体" w:eastAsia="宋体" w:cs="宋体"/>
                <w:b/>
                <w:bCs/>
                <w:color w:val="000000" w:themeColor="text1"/>
                <w:kern w:val="0"/>
                <w:szCs w:val="21"/>
                <w:lang w:bidi="ar"/>
                <w14:textFill>
                  <w14:solidFill>
                    <w14:schemeClr w14:val="tx1"/>
                  </w14:solidFill>
                </w14:textFill>
              </w:rPr>
              <w:t>投标时提供官网截图证明</w:t>
            </w:r>
          </w:p>
        </w:tc>
      </w:tr>
      <w:tr>
        <w:tblPrEx>
          <w:tblCellMar>
            <w:top w:w="0" w:type="dxa"/>
            <w:left w:w="108" w:type="dxa"/>
            <w:bottom w:w="0" w:type="dxa"/>
            <w:right w:w="108" w:type="dxa"/>
          </w:tblCellMar>
        </w:tblPrEx>
        <w:trPr>
          <w:trHeight w:val="288"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可视化</w:t>
            </w:r>
          </w:p>
        </w:tc>
        <w:tc>
          <w:tcPr>
            <w:tcW w:w="7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支持Telemetry可视化</w:t>
            </w:r>
          </w:p>
        </w:tc>
      </w:tr>
      <w:tr>
        <w:tblPrEx>
          <w:tblCellMar>
            <w:top w:w="0" w:type="dxa"/>
            <w:left w:w="108" w:type="dxa"/>
            <w:bottom w:w="0" w:type="dxa"/>
            <w:right w:w="108" w:type="dxa"/>
          </w:tblCellMar>
        </w:tblPrEx>
        <w:trPr>
          <w:trHeight w:val="864"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安全性</w:t>
            </w:r>
          </w:p>
        </w:tc>
        <w:tc>
          <w:tcPr>
            <w:tcW w:w="7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支持MACsec功能，支持安全启动，在系统启动过程中支持安全检测，防止对系统镜像进行修改和伪造数据</w:t>
            </w:r>
          </w:p>
        </w:tc>
      </w:tr>
      <w:tr>
        <w:tblPrEx>
          <w:tblCellMar>
            <w:top w:w="0" w:type="dxa"/>
            <w:left w:w="108" w:type="dxa"/>
            <w:bottom w:w="0" w:type="dxa"/>
            <w:right w:w="108" w:type="dxa"/>
          </w:tblCellMar>
        </w:tblPrEx>
        <w:trPr>
          <w:trHeight w:val="288"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产品资质</w:t>
            </w:r>
          </w:p>
        </w:tc>
        <w:tc>
          <w:tcPr>
            <w:tcW w:w="7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Times New Roman"/>
                <w:b/>
                <w:bCs/>
                <w:spacing w:val="-6"/>
                <w:szCs w:val="21"/>
              </w:rPr>
              <w:t>▲</w:t>
            </w:r>
            <w:r>
              <w:rPr>
                <w:rFonts w:hint="eastAsia" w:ascii="宋体" w:hAnsi="宋体" w:eastAsia="宋体" w:cs="宋体"/>
                <w:b/>
                <w:bCs/>
                <w:color w:val="000000" w:themeColor="text1"/>
                <w:kern w:val="0"/>
                <w:szCs w:val="21"/>
                <w:lang w:bidi="ar"/>
                <w14:textFill>
                  <w14:solidFill>
                    <w14:schemeClr w14:val="tx1"/>
                  </w14:solidFill>
                </w14:textFill>
              </w:rPr>
              <w:t>提供工信部入网证</w:t>
            </w:r>
          </w:p>
        </w:tc>
      </w:tr>
      <w:tr>
        <w:tblPrEx>
          <w:tblCellMar>
            <w:top w:w="0" w:type="dxa"/>
            <w:left w:w="108" w:type="dxa"/>
            <w:bottom w:w="0" w:type="dxa"/>
            <w:right w:w="108" w:type="dxa"/>
          </w:tblCellMar>
        </w:tblPrEx>
        <w:trPr>
          <w:trHeight w:val="9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配置</w:t>
            </w:r>
          </w:p>
        </w:tc>
        <w:tc>
          <w:tcPr>
            <w:tcW w:w="7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8" w:lineRule="auto"/>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 冗余电源模块，冗余风扇模块，40G堆叠线缆≥2条</w:t>
            </w:r>
          </w:p>
        </w:tc>
      </w:tr>
    </w:tbl>
    <w:p>
      <w:pPr>
        <w:spacing w:line="288" w:lineRule="auto"/>
        <w:rPr>
          <w:rFonts w:ascii="宋体" w:hAnsi="宋体" w:eastAsia="宋体"/>
          <w:color w:val="000000" w:themeColor="text1"/>
          <w:szCs w:val="21"/>
          <w14:textFill>
            <w14:solidFill>
              <w14:schemeClr w14:val="tx1"/>
            </w14:solidFill>
          </w14:textFill>
        </w:rPr>
      </w:pPr>
    </w:p>
    <w:p>
      <w:pPr>
        <w:adjustRightInd w:val="0"/>
        <w:snapToGrid w:val="0"/>
        <w:spacing w:line="288" w:lineRule="auto"/>
        <w:rPr>
          <w:rFonts w:ascii="宋体" w:hAnsi="宋体" w:eastAsia="宋体" w:cs="Times New Roman"/>
          <w:b/>
          <w:bCs/>
          <w:szCs w:val="21"/>
        </w:rPr>
      </w:pPr>
    </w:p>
    <w:p>
      <w:pPr>
        <w:adjustRightInd w:val="0"/>
        <w:snapToGrid w:val="0"/>
        <w:spacing w:line="288" w:lineRule="auto"/>
        <w:rPr>
          <w:rFonts w:ascii="宋体" w:hAnsi="宋体" w:eastAsia="宋体" w:cs="Times New Roman"/>
          <w:b/>
          <w:bCs/>
          <w:szCs w:val="21"/>
        </w:rPr>
      </w:pPr>
    </w:p>
    <w:p>
      <w:pPr>
        <w:adjustRightInd w:val="0"/>
        <w:snapToGrid w:val="0"/>
        <w:spacing w:line="288" w:lineRule="auto"/>
        <w:rPr>
          <w:rFonts w:ascii="宋体" w:hAnsi="宋体" w:eastAsia="宋体" w:cs="Times New Roman"/>
          <w:b/>
          <w:bCs/>
          <w:szCs w:val="21"/>
        </w:rPr>
      </w:pPr>
    </w:p>
    <w:p>
      <w:pPr>
        <w:widowControl/>
        <w:adjustRightInd w:val="0"/>
        <w:snapToGrid w:val="0"/>
        <w:spacing w:line="288" w:lineRule="auto"/>
        <w:jc w:val="left"/>
        <w:rPr>
          <w:rFonts w:ascii="宋体" w:hAnsi="宋体" w:eastAsia="宋体" w:cs="Times New Roman"/>
          <w:szCs w:val="21"/>
        </w:rPr>
      </w:pPr>
      <w:r>
        <w:rPr>
          <w:rFonts w:ascii="宋体" w:hAnsi="宋体" w:eastAsia="宋体" w:cs="Times New Roman"/>
          <w:szCs w:val="21"/>
        </w:rPr>
        <w:br w:type="page"/>
      </w:r>
    </w:p>
    <w:p>
      <w:pPr>
        <w:adjustRightInd w:val="0"/>
        <w:snapToGrid w:val="0"/>
        <w:spacing w:line="288" w:lineRule="auto"/>
        <w:jc w:val="center"/>
        <w:outlineLvl w:val="0"/>
        <w:rPr>
          <w:rFonts w:ascii="宋体" w:hAnsi="宋体" w:eastAsia="宋体" w:cs="Times New Roman"/>
          <w:sz w:val="32"/>
          <w:szCs w:val="32"/>
        </w:rPr>
      </w:pPr>
      <w:r>
        <w:rPr>
          <w:rFonts w:hint="eastAsia" w:ascii="宋体" w:hAnsi="宋体" w:eastAsia="宋体" w:cs="Times New Roman"/>
          <w:b/>
          <w:sz w:val="32"/>
          <w:szCs w:val="32"/>
        </w:rPr>
        <w:t>第三章  投标人须知</w:t>
      </w:r>
    </w:p>
    <w:p>
      <w:pPr>
        <w:adjustRightInd w:val="0"/>
        <w:snapToGrid w:val="0"/>
        <w:spacing w:line="288" w:lineRule="auto"/>
        <w:ind w:left="238"/>
        <w:jc w:val="center"/>
        <w:outlineLvl w:val="1"/>
        <w:rPr>
          <w:rFonts w:ascii="宋体" w:hAnsi="宋体" w:eastAsia="宋体" w:cs="Times New Roman"/>
          <w:b/>
          <w:szCs w:val="21"/>
        </w:rPr>
      </w:pPr>
      <w:r>
        <w:rPr>
          <w:rFonts w:hint="eastAsia" w:ascii="宋体" w:hAnsi="宋体" w:eastAsia="宋体" w:cs="Times New Roman"/>
          <w:b/>
          <w:szCs w:val="21"/>
        </w:rPr>
        <w:t>投标人</w:t>
      </w:r>
      <w:r>
        <w:rPr>
          <w:rFonts w:ascii="宋体" w:hAnsi="宋体" w:eastAsia="宋体" w:cs="Times New Roman"/>
          <w:b/>
          <w:szCs w:val="21"/>
        </w:rPr>
        <w:t>须知</w:t>
      </w:r>
      <w:r>
        <w:rPr>
          <w:rFonts w:hint="eastAsia" w:ascii="宋体" w:hAnsi="宋体" w:eastAsia="宋体" w:cs="Times New Roman"/>
          <w:b/>
          <w:szCs w:val="21"/>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b/>
                <w:bCs/>
                <w:szCs w:val="21"/>
              </w:rPr>
            </w:pPr>
            <w:r>
              <w:rPr>
                <w:rFonts w:hint="eastAsia" w:ascii="宋体" w:hAnsi="宋体" w:eastAsia="宋体"/>
                <w:b/>
                <w:bCs/>
                <w:szCs w:val="21"/>
              </w:rPr>
              <w:t>条款号</w:t>
            </w:r>
          </w:p>
        </w:tc>
        <w:tc>
          <w:tcPr>
            <w:tcW w:w="1701" w:type="dxa"/>
            <w:vAlign w:val="center"/>
          </w:tcPr>
          <w:p>
            <w:pPr>
              <w:adjustRightInd w:val="0"/>
              <w:snapToGrid w:val="0"/>
              <w:spacing w:line="288" w:lineRule="auto"/>
              <w:jc w:val="center"/>
              <w:rPr>
                <w:rFonts w:ascii="宋体" w:hAnsi="宋体" w:eastAsia="宋体"/>
                <w:b/>
                <w:bCs/>
                <w:szCs w:val="21"/>
              </w:rPr>
            </w:pPr>
            <w:r>
              <w:rPr>
                <w:rFonts w:hint="eastAsia" w:ascii="宋体" w:hAnsi="宋体" w:eastAsia="宋体"/>
                <w:b/>
                <w:bCs/>
                <w:szCs w:val="21"/>
              </w:rPr>
              <w:t>内容</w:t>
            </w:r>
          </w:p>
        </w:tc>
        <w:tc>
          <w:tcPr>
            <w:tcW w:w="6663" w:type="dxa"/>
            <w:vAlign w:val="center"/>
          </w:tcPr>
          <w:p>
            <w:pPr>
              <w:adjustRightInd w:val="0"/>
              <w:snapToGrid w:val="0"/>
              <w:spacing w:line="288" w:lineRule="auto"/>
              <w:jc w:val="center"/>
              <w:rPr>
                <w:rFonts w:ascii="宋体" w:hAnsi="宋体" w:eastAsia="宋体"/>
                <w:b/>
                <w:bCs/>
                <w:szCs w:val="21"/>
              </w:rPr>
            </w:pPr>
            <w:r>
              <w:rPr>
                <w:rFonts w:hint="eastAsia" w:ascii="宋体" w:hAnsi="宋体" w:eastAsia="宋体"/>
                <w:b/>
                <w:bCs/>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（一）</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适用范围</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本招标文件适用于浙江机电职业技术学院两校区交换机更新与安全性能提升的招标、评标、定标、验收、合同履约、付款等（法律、法规另有规定的，从其规定）。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（二）</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招标方式</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本次招标采用公开招标（线上电子招投标）方式进行。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（三）</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投标委托</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▲1</w:t>
            </w:r>
            <w:r>
              <w:rPr>
                <w:rFonts w:ascii="宋体" w:hAnsi="宋体" w:eastAsia="宋体"/>
                <w:szCs w:val="21"/>
              </w:rPr>
              <w:t>.投标人代表是法定代表人</w:t>
            </w:r>
            <w:r>
              <w:rPr>
                <w:rFonts w:hint="eastAsia" w:ascii="宋体" w:hAnsi="宋体" w:eastAsia="宋体"/>
                <w:szCs w:val="21"/>
              </w:rPr>
              <w:t>（单位负责人、自然人本人）的，须提供本人身份证明。</w:t>
            </w:r>
          </w:p>
          <w:p>
            <w:pPr>
              <w:adjustRightInd w:val="0"/>
              <w:snapToGrid w:val="0"/>
              <w:spacing w:line="288" w:lineRule="auto"/>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w:t>
            </w:r>
            <w:r>
              <w:rPr>
                <w:rFonts w:ascii="宋体" w:hAnsi="宋体" w:eastAsia="宋体"/>
                <w:szCs w:val="21"/>
              </w:rPr>
              <w:t>投标人代表不是法定代表人</w:t>
            </w:r>
            <w:r>
              <w:rPr>
                <w:rFonts w:hint="eastAsia" w:ascii="宋体" w:hAnsi="宋体" w:eastAsia="宋体"/>
                <w:szCs w:val="21"/>
              </w:rPr>
              <w:t>（单位负责人、自然人本人）的</w:t>
            </w:r>
            <w:r>
              <w:rPr>
                <w:rFonts w:ascii="宋体" w:hAnsi="宋体" w:eastAsia="宋体"/>
                <w:szCs w:val="21"/>
              </w:rPr>
              <w:t>，须提供</w:t>
            </w:r>
            <w:r>
              <w:rPr>
                <w:rFonts w:ascii="宋体" w:hAnsi="宋体" w:eastAsia="宋体"/>
                <w:bCs/>
                <w:szCs w:val="21"/>
              </w:rPr>
              <w:t>授权</w:t>
            </w:r>
            <w:r>
              <w:rPr>
                <w:rFonts w:hint="eastAsia" w:ascii="宋体" w:hAnsi="宋体" w:eastAsia="宋体"/>
                <w:bCs/>
                <w:szCs w:val="21"/>
              </w:rPr>
              <w:t>委托</w:t>
            </w:r>
            <w:r>
              <w:rPr>
                <w:rFonts w:ascii="宋体" w:hAnsi="宋体" w:eastAsia="宋体"/>
                <w:bCs/>
                <w:szCs w:val="21"/>
              </w:rPr>
              <w:t>书</w:t>
            </w:r>
            <w:r>
              <w:rPr>
                <w:rFonts w:hint="eastAsia" w:ascii="宋体" w:hAnsi="宋体" w:eastAsia="宋体"/>
                <w:szCs w:val="21"/>
              </w:rPr>
              <w:t>（格式详见招标文件第六章）和授权代表社保缴纳证明（</w:t>
            </w:r>
            <w:r>
              <w:rPr>
                <w:rFonts w:ascii="宋体" w:hAnsi="宋体" w:eastAsia="宋体"/>
                <w:szCs w:val="21"/>
              </w:rPr>
              <w:t>2023年7月（含）以后任意一月）</w:t>
            </w:r>
            <w:r>
              <w:rPr>
                <w:rFonts w:hint="eastAsia" w:ascii="宋体" w:hAnsi="宋体" w:eastAsia="宋体"/>
                <w:szCs w:val="21"/>
              </w:rPr>
              <w:t>；</w:t>
            </w:r>
          </w:p>
          <w:p>
            <w:pPr>
              <w:adjustRightInd w:val="0"/>
              <w:snapToGrid w:val="0"/>
              <w:spacing w:line="288" w:lineRule="auto"/>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投标人委派不在本单位缴纳社保的人员作为授权代表的，应当在投标文件中，说明具体原因、授权代表缴纳社保的单位，并附列该授权代表缴纳社保清单。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（四）</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投标费用</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1.不论投标结果如何，投标人均应自行承担所有与投标有关的全部费用；</w:t>
            </w:r>
          </w:p>
          <w:p>
            <w:pPr>
              <w:adjustRightInd w:val="0"/>
              <w:snapToGrid w:val="0"/>
              <w:spacing w:line="288" w:lineRule="auto"/>
              <w:rPr>
                <w:rFonts w:ascii="宋体" w:hAnsi="宋体" w:eastAsia="宋体"/>
                <w:szCs w:val="21"/>
              </w:rPr>
            </w:pPr>
            <w:r>
              <w:rPr>
                <w:rFonts w:hint="eastAsia" w:ascii="宋体" w:hAnsi="宋体" w:eastAsia="宋体"/>
                <w:szCs w:val="21"/>
              </w:rPr>
              <w:t>2.中标人在中标通知书发出之日起七个工作日内，向采购代理机构交纳代理服务费；</w:t>
            </w:r>
          </w:p>
          <w:p>
            <w:pPr>
              <w:adjustRightInd w:val="0"/>
              <w:snapToGrid w:val="0"/>
              <w:spacing w:line="288" w:lineRule="auto"/>
              <w:rPr>
                <w:rFonts w:ascii="宋体" w:hAnsi="宋体" w:eastAsia="宋体"/>
                <w:szCs w:val="21"/>
              </w:rPr>
            </w:pPr>
            <w:r>
              <w:rPr>
                <w:rFonts w:hint="eastAsia" w:ascii="宋体" w:hAnsi="宋体" w:eastAsia="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adjustRightInd w:val="0"/>
              <w:snapToGrid w:val="0"/>
              <w:spacing w:line="288" w:lineRule="auto"/>
              <w:rPr>
                <w:rFonts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中标金额（万元）</w:t>
                  </w:r>
                </w:p>
              </w:tc>
              <w:tc>
                <w:tcPr>
                  <w:tcW w:w="3070"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100以下</w:t>
                  </w:r>
                </w:p>
              </w:tc>
              <w:tc>
                <w:tcPr>
                  <w:tcW w:w="3070"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1.05%</w:t>
                  </w:r>
                  <w:r>
                    <w:rPr>
                      <w:rFonts w:hint="eastAsia" w:ascii="宋体" w:hAnsi="宋体" w:eastAsia="宋体"/>
                      <w:szCs w:val="21"/>
                    </w:rPr>
                    <w:br w:type="textWrapping"/>
                  </w:r>
                  <w:r>
                    <w:rPr>
                      <w:rFonts w:hint="eastAsia" w:ascii="宋体" w:hAnsi="宋体" w:eastAsia="宋体"/>
                      <w:szCs w:val="21"/>
                    </w:rPr>
                    <w:t>（不足3000元按3000元计）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100-500</w:t>
                  </w:r>
                </w:p>
              </w:tc>
              <w:tc>
                <w:tcPr>
                  <w:tcW w:w="3070"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0.77%</w:t>
                  </w:r>
                </w:p>
              </w:tc>
            </w:tr>
          </w:tbl>
          <w:p>
            <w:pPr>
              <w:adjustRightInd w:val="0"/>
              <w:snapToGrid w:val="0"/>
              <w:spacing w:line="288"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（五）</w:t>
            </w:r>
          </w:p>
        </w:tc>
        <w:tc>
          <w:tcPr>
            <w:tcW w:w="1701" w:type="dxa"/>
            <w:vAlign w:val="center"/>
          </w:tcPr>
          <w:p>
            <w:pPr>
              <w:adjustRightInd w:val="0"/>
              <w:snapToGrid w:val="0"/>
              <w:spacing w:line="288" w:lineRule="auto"/>
              <w:ind w:right="-105" w:rightChars="-50"/>
              <w:jc w:val="center"/>
              <w:rPr>
                <w:rFonts w:ascii="宋体" w:hAnsi="宋体" w:eastAsia="宋体"/>
                <w:szCs w:val="21"/>
              </w:rPr>
            </w:pPr>
            <w:r>
              <w:rPr>
                <w:rFonts w:hint="eastAsia" w:ascii="宋体" w:hAnsi="宋体" w:eastAsia="宋体" w:cs="Times New Roman"/>
                <w:spacing w:val="-6"/>
                <w:szCs w:val="21"/>
              </w:rPr>
              <w:t>投标保证金（元）</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cs="Times New Roman"/>
                <w:spacing w:val="-6"/>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（六）</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联合体投标</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本项目（是）接受联合体投标。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（七）</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转包与分包</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本项目不允许转包；</w:t>
            </w:r>
          </w:p>
          <w:p>
            <w:pPr>
              <w:adjustRightInd w:val="0"/>
              <w:snapToGrid w:val="0"/>
              <w:spacing w:line="288" w:lineRule="auto"/>
              <w:rPr>
                <w:rFonts w:ascii="宋体" w:hAnsi="宋体" w:eastAsia="宋体"/>
                <w:color w:val="FF0000"/>
                <w:szCs w:val="21"/>
              </w:rPr>
            </w:pPr>
            <w:r>
              <w:rPr>
                <w:rFonts w:ascii="宋体" w:hAnsi="宋体" w:eastAsia="宋体"/>
                <w:color w:val="FF0000"/>
                <w:szCs w:val="21"/>
              </w:rPr>
              <w:t>2.</w:t>
            </w:r>
            <w:r>
              <w:rPr>
                <w:rFonts w:hint="eastAsia" w:ascii="宋体" w:hAnsi="宋体" w:eastAsia="宋体"/>
                <w:color w:val="FF0000"/>
                <w:szCs w:val="21"/>
              </w:rPr>
              <w:t>本项目</w:t>
            </w:r>
            <w:r>
              <w:rPr>
                <w:rFonts w:hint="eastAsia" w:ascii="宋体" w:hAnsi="宋体" w:eastAsia="宋体"/>
                <w:b/>
                <w:bCs/>
                <w:color w:val="FF0000"/>
                <w:szCs w:val="21"/>
                <w:u w:val="single"/>
              </w:rPr>
              <w:t>允许</w:t>
            </w:r>
            <w:r>
              <w:rPr>
                <w:rFonts w:hint="eastAsia" w:ascii="宋体" w:hAnsi="宋体" w:eastAsia="宋体"/>
                <w:color w:val="FF0000"/>
                <w:szCs w:val="21"/>
              </w:rPr>
              <w:t>分包，</w:t>
            </w:r>
            <w:r>
              <w:rPr>
                <w:rFonts w:ascii="宋体" w:hAnsi="宋体" w:eastAsia="宋体"/>
                <w:color w:val="FF0000"/>
                <w:szCs w:val="21"/>
              </w:rPr>
              <w:t>可以分包履行的（非主体、非关键性的工作）具体内容、金额或者比例：</w:t>
            </w:r>
            <w:r>
              <w:rPr>
                <w:rFonts w:hint="eastAsia" w:ascii="宋体" w:hAnsi="宋体" w:eastAsia="宋体" w:cs="宋体"/>
                <w:szCs w:val="21"/>
              </w:rPr>
              <w:t>交换机（24口10G光纤三层）</w:t>
            </w:r>
            <w:r>
              <w:rPr>
                <w:rFonts w:ascii="宋体" w:hAnsi="宋体" w:eastAsia="宋体"/>
                <w:color w:val="FF0000"/>
                <w:szCs w:val="21"/>
                <w:u w:val="single"/>
              </w:rPr>
              <w:t>。</w:t>
            </w:r>
          </w:p>
          <w:p>
            <w:pPr>
              <w:adjustRightInd w:val="0"/>
              <w:snapToGrid w:val="0"/>
              <w:spacing w:line="288" w:lineRule="auto"/>
              <w:rPr>
                <w:rFonts w:ascii="宋体" w:hAnsi="宋体" w:eastAsia="宋体" w:cs="Times New Roman"/>
                <w:spacing w:val="-6"/>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（八）</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b/>
                <w:bCs/>
                <w:szCs w:val="21"/>
              </w:rPr>
              <w:t>信用记录</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bCs/>
                <w:szCs w:val="21"/>
              </w:rPr>
              <w:t>根据财库[2016]125号《关于在政府采购活动中查询及使用信用记录有关问题的通知》要求，采购代理机构会对投标人信用记录进行查询并甄别。信用</w:t>
            </w:r>
            <w:r>
              <w:rPr>
                <w:rFonts w:hint="eastAsia" w:ascii="宋体" w:hAnsi="宋体" w:eastAsia="宋体"/>
                <w:szCs w:val="21"/>
              </w:rPr>
              <w:t>信息查询的截止时点：投标截止时间；</w:t>
            </w:r>
          </w:p>
          <w:p>
            <w:pPr>
              <w:adjustRightInd w:val="0"/>
              <w:snapToGrid w:val="0"/>
              <w:spacing w:line="288" w:lineRule="auto"/>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）查询渠道：“信用中国”（www.creditchina.gov.cn）、“中国政府采购网”（www.ccgp.gov.cn）；</w:t>
            </w:r>
          </w:p>
          <w:p>
            <w:pPr>
              <w:adjustRightInd w:val="0"/>
              <w:snapToGrid w:val="0"/>
              <w:spacing w:line="288" w:lineRule="auto"/>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）信用信息查询记录和证据留存具体方式：采购代理机构经办人和监督人员将查询网页打印、签名与其他采购文件一并保存；</w:t>
            </w:r>
          </w:p>
          <w:p>
            <w:pPr>
              <w:adjustRightInd w:val="0"/>
              <w:snapToGrid w:val="0"/>
              <w:spacing w:line="288" w:lineRule="auto"/>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bCs/>
                <w:szCs w:val="21"/>
              </w:rPr>
              <w:t>）信用信息的使用规则：投标人被列入失信被执行人、重大税收违法案件当事人名单、政府采购严重违法失信行为记录名单的，拒绝其参与政府采购活动。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（九）</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资格审查要求的资格证明材料</w:t>
            </w:r>
          </w:p>
        </w:tc>
        <w:tc>
          <w:tcPr>
            <w:tcW w:w="6663" w:type="dxa"/>
            <w:vAlign w:val="center"/>
          </w:tcPr>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资格审查要求的资格证明材料（均需加盖公章）</w:t>
            </w:r>
          </w:p>
          <w:p>
            <w:pPr>
              <w:adjustRightInd w:val="0"/>
              <w:snapToGrid w:val="0"/>
              <w:spacing w:line="288" w:lineRule="auto"/>
              <w:rPr>
                <w:rFonts w:ascii="宋体" w:hAnsi="宋体" w:eastAsia="宋体"/>
                <w:bCs/>
                <w:szCs w:val="21"/>
              </w:rPr>
            </w:pPr>
            <w:r>
              <w:rPr>
                <w:rFonts w:hint="eastAsia" w:ascii="宋体" w:hAnsi="宋体" w:eastAsia="宋体"/>
                <w:szCs w:val="21"/>
              </w:rPr>
              <w:t>（</w:t>
            </w:r>
            <w:r>
              <w:rPr>
                <w:rFonts w:hint="eastAsia" w:ascii="宋体" w:hAnsi="宋体" w:eastAsia="宋体"/>
                <w:bCs/>
                <w:szCs w:val="21"/>
              </w:rPr>
              <w:t>1）有效的法人或者其他组织的营业执照等证明文件，自然人的身份证明</w:t>
            </w:r>
          </w:p>
          <w:p>
            <w:pPr>
              <w:adjustRightInd w:val="0"/>
              <w:snapToGrid w:val="0"/>
              <w:spacing w:line="288" w:lineRule="auto"/>
              <w:rPr>
                <w:rFonts w:ascii="宋体" w:hAnsi="宋体" w:eastAsia="宋体"/>
                <w:bCs/>
                <w:szCs w:val="21"/>
              </w:rPr>
            </w:pPr>
            <w:r>
              <w:rPr>
                <w:rFonts w:hint="eastAsia" w:ascii="宋体" w:hAnsi="宋体" w:eastAsia="宋体"/>
                <w:szCs w:val="21"/>
              </w:rPr>
              <w:t>（</w:t>
            </w:r>
            <w:r>
              <w:rPr>
                <w:rFonts w:hint="eastAsia" w:ascii="宋体" w:hAnsi="宋体" w:eastAsia="宋体"/>
                <w:bCs/>
                <w:szCs w:val="21"/>
              </w:rPr>
              <w:t>2）符合参加政府采购活动应当具备的一般条件的承诺函</w:t>
            </w:r>
          </w:p>
          <w:p>
            <w:pPr>
              <w:adjustRightInd w:val="0"/>
              <w:snapToGrid w:val="0"/>
              <w:spacing w:line="288" w:lineRule="auto"/>
              <w:rPr>
                <w:rFonts w:ascii="宋体" w:hAnsi="宋体" w:eastAsia="宋体"/>
                <w:bCs/>
                <w:szCs w:val="21"/>
              </w:rPr>
            </w:pPr>
            <w:r>
              <w:rPr>
                <w:rFonts w:hint="eastAsia" w:ascii="宋体" w:hAnsi="宋体" w:eastAsia="宋体"/>
                <w:bCs/>
                <w:szCs w:val="21"/>
              </w:rPr>
              <w:t>（</w:t>
            </w:r>
            <w:r>
              <w:rPr>
                <w:rFonts w:ascii="宋体" w:hAnsi="宋体" w:eastAsia="宋体"/>
                <w:bCs/>
                <w:szCs w:val="21"/>
              </w:rPr>
              <w:t>3</w:t>
            </w:r>
            <w:r>
              <w:rPr>
                <w:rFonts w:hint="eastAsia" w:ascii="宋体" w:hAnsi="宋体" w:eastAsia="宋体"/>
                <w:bCs/>
                <w:szCs w:val="21"/>
              </w:rPr>
              <w:t>）</w:t>
            </w:r>
            <w:r>
              <w:rPr>
                <w:rFonts w:ascii="宋体" w:hAnsi="宋体" w:eastAsia="宋体"/>
                <w:bCs/>
                <w:szCs w:val="21"/>
              </w:rPr>
              <w:t>落实政府采购政策需满足的资格要求：</w:t>
            </w:r>
            <w:r>
              <w:rPr>
                <w:rFonts w:hint="eastAsia" w:ascii="宋体" w:hAnsi="宋体" w:eastAsia="宋体"/>
                <w:bCs/>
                <w:szCs w:val="21"/>
              </w:rPr>
              <w:t>无</w:t>
            </w:r>
          </w:p>
          <w:p>
            <w:pPr>
              <w:adjustRightInd w:val="0"/>
              <w:snapToGrid w:val="0"/>
              <w:spacing w:line="288" w:lineRule="auto"/>
              <w:rPr>
                <w:rFonts w:ascii="宋体" w:hAnsi="宋体" w:eastAsia="宋体"/>
                <w:bCs/>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本项目的特定资格要求</w:t>
            </w:r>
            <w:r>
              <w:rPr>
                <w:rFonts w:ascii="宋体" w:hAnsi="宋体" w:eastAsia="宋体"/>
                <w:szCs w:val="21"/>
              </w:rPr>
              <w:t>证明材料</w:t>
            </w:r>
            <w:r>
              <w:rPr>
                <w:rFonts w:ascii="宋体" w:hAnsi="宋体" w:eastAsia="宋体"/>
                <w:bCs/>
                <w:szCs w:val="21"/>
              </w:rPr>
              <w:t>：</w:t>
            </w:r>
            <w:r>
              <w:rPr>
                <w:rFonts w:hint="eastAsia" w:ascii="宋体" w:hAnsi="宋体" w:eastAsia="宋体"/>
                <w:bCs/>
                <w:szCs w:val="21"/>
              </w:rPr>
              <w:t>无</w:t>
            </w:r>
          </w:p>
          <w:p>
            <w:pPr>
              <w:adjustRightInd w:val="0"/>
              <w:snapToGrid w:val="0"/>
              <w:spacing w:line="288" w:lineRule="auto"/>
              <w:rPr>
                <w:rFonts w:ascii="宋体" w:hAnsi="宋体" w:eastAsia="宋体"/>
                <w:bCs/>
                <w:szCs w:val="21"/>
              </w:rPr>
            </w:pPr>
            <w:r>
              <w:rPr>
                <w:rFonts w:hint="eastAsia" w:ascii="宋体" w:hAnsi="宋体" w:eastAsia="宋体"/>
                <w:bCs/>
                <w:szCs w:val="21"/>
              </w:rPr>
              <w:t>（5）联合协议（以联合体形式投标的，提供联合协议；本项目不接受联合体投标或者投标人不以联合体形式投标的，则不需要提供）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投标文件份数</w:t>
            </w:r>
          </w:p>
        </w:tc>
        <w:tc>
          <w:tcPr>
            <w:tcW w:w="6663" w:type="dxa"/>
            <w:vAlign w:val="center"/>
          </w:tcPr>
          <w:p>
            <w:pPr>
              <w:adjustRightInd w:val="0"/>
              <w:snapToGrid w:val="0"/>
              <w:spacing w:line="288" w:lineRule="auto"/>
              <w:ind w:firstLine="396" w:firstLineChars="200"/>
              <w:jc w:val="left"/>
              <w:rPr>
                <w:rFonts w:ascii="宋体" w:hAnsi="宋体" w:eastAsia="宋体"/>
                <w:bCs/>
                <w:spacing w:val="-6"/>
                <w:szCs w:val="21"/>
              </w:rPr>
            </w:pPr>
            <w:r>
              <w:rPr>
                <w:rFonts w:hint="eastAsia" w:ascii="宋体" w:hAnsi="宋体" w:eastAsia="宋体"/>
                <w:bCs/>
                <w:spacing w:val="-6"/>
                <w:szCs w:val="21"/>
              </w:rPr>
              <w:t>电子加密投标文件：政府采购云平台在线上传一份；</w:t>
            </w:r>
          </w:p>
          <w:p>
            <w:pPr>
              <w:adjustRightInd w:val="0"/>
              <w:snapToGrid w:val="0"/>
              <w:spacing w:line="288" w:lineRule="auto"/>
              <w:ind w:firstLine="396" w:firstLineChars="200"/>
              <w:jc w:val="left"/>
              <w:rPr>
                <w:rFonts w:ascii="宋体" w:hAnsi="宋体" w:eastAsia="宋体" w:cs="宋体"/>
                <w:bCs/>
                <w:szCs w:val="21"/>
              </w:rPr>
            </w:pPr>
            <w:r>
              <w:rPr>
                <w:rFonts w:hint="eastAsia" w:ascii="宋体" w:hAnsi="宋体" w:eastAsia="宋体"/>
                <w:bCs/>
                <w:spacing w:val="-6"/>
                <w:szCs w:val="21"/>
              </w:rPr>
              <w:t>备份投标文件：密封包装后EMS或顺丰邮寄形式递交一份（邮寄地址：</w:t>
            </w:r>
            <w:r>
              <w:rPr>
                <w:rFonts w:hint="eastAsia" w:ascii="宋体" w:hAnsi="宋体" w:eastAsia="宋体" w:cs="宋体"/>
                <w:bCs/>
                <w:szCs w:val="21"/>
              </w:rPr>
              <w:t>杭州市西湖区玉古路173号中田大厦21楼H室，浙江求是招标代理有限公司（温瑶）收，电话：0571-87666115，寄出后将（快递单号、项目名称、公司名称、联系方式等相关信息）发至：zb03@qszb.net，以便查收）。</w:t>
            </w:r>
          </w:p>
          <w:p>
            <w:pPr>
              <w:adjustRightInd w:val="0"/>
              <w:snapToGrid w:val="0"/>
              <w:spacing w:line="288" w:lineRule="auto"/>
              <w:ind w:firstLine="422" w:firstLineChars="200"/>
              <w:jc w:val="left"/>
              <w:rPr>
                <w:rFonts w:ascii="宋体" w:hAnsi="宋体" w:eastAsia="宋体" w:cs="宋体"/>
                <w:b/>
                <w:szCs w:val="21"/>
              </w:rPr>
            </w:pPr>
            <w:r>
              <w:rPr>
                <w:rFonts w:hint="eastAsia" w:ascii="宋体" w:hAnsi="宋体" w:eastAsia="宋体" w:cs="宋体"/>
                <w:b/>
                <w:szCs w:val="21"/>
              </w:rPr>
              <w:t>特别说明：双休日和法定节假日不收件，投标人自行承担邮寄风险。</w:t>
            </w:r>
          </w:p>
          <w:p>
            <w:pPr>
              <w:adjustRightInd w:val="0"/>
              <w:snapToGrid w:val="0"/>
              <w:spacing w:line="288" w:lineRule="auto"/>
              <w:ind w:firstLine="396" w:firstLineChars="200"/>
              <w:jc w:val="left"/>
              <w:rPr>
                <w:rFonts w:ascii="宋体" w:hAnsi="宋体" w:eastAsia="宋体"/>
                <w:bCs/>
                <w:spacing w:val="-6"/>
                <w:szCs w:val="21"/>
                <w:highlight w:val="yellow"/>
              </w:rPr>
            </w:pPr>
            <w:r>
              <w:rPr>
                <w:rFonts w:hint="eastAsia" w:ascii="宋体" w:hAnsi="宋体" w:eastAsia="宋体"/>
                <w:bCs/>
                <w:spacing w:val="-6"/>
                <w:szCs w:val="21"/>
              </w:rPr>
              <w:t>中标后中标供应商</w:t>
            </w:r>
            <w:r>
              <w:rPr>
                <w:rFonts w:ascii="宋体" w:hAnsi="宋体" w:eastAsia="宋体"/>
                <w:bCs/>
                <w:spacing w:val="-6"/>
                <w:szCs w:val="21"/>
              </w:rPr>
              <w:t>3天内提供一份纸质标书</w:t>
            </w:r>
            <w:r>
              <w:rPr>
                <w:rFonts w:hint="eastAsia" w:ascii="宋体" w:hAnsi="宋体" w:eastAsia="宋体"/>
                <w:bCs/>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（十一）</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投标报价</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1.报价应按招标文件要求的格式编制、填写报价内容（可自行增行），未按招标文件要求编制、填写的投标文件可能被拒绝；</w:t>
            </w:r>
          </w:p>
          <w:p>
            <w:pPr>
              <w:adjustRightInd w:val="0"/>
              <w:snapToGrid w:val="0"/>
              <w:spacing w:line="288" w:lineRule="auto"/>
              <w:rPr>
                <w:rFonts w:ascii="宋体" w:hAnsi="宋体" w:eastAsia="宋体"/>
                <w:szCs w:val="21"/>
              </w:rPr>
            </w:pPr>
            <w:r>
              <w:rPr>
                <w:rFonts w:hint="eastAsia" w:ascii="宋体" w:hAnsi="宋体" w:eastAsia="宋体"/>
                <w:szCs w:val="21"/>
              </w:rPr>
              <w:t>2.以人民币报价；</w:t>
            </w:r>
          </w:p>
          <w:p>
            <w:pPr>
              <w:adjustRightInd w:val="0"/>
              <w:snapToGrid w:val="0"/>
              <w:spacing w:line="288" w:lineRule="auto"/>
              <w:rPr>
                <w:rFonts w:ascii="宋体" w:hAnsi="宋体" w:eastAsia="宋体"/>
                <w:szCs w:val="21"/>
              </w:rPr>
            </w:pPr>
            <w:r>
              <w:rPr>
                <w:rFonts w:hint="eastAsia" w:ascii="宋体" w:hAnsi="宋体" w:eastAsia="宋体"/>
                <w:szCs w:val="21"/>
              </w:rPr>
              <w:t>3.投标报价是履行合同的最终价格，有关本项目实施所涉及的一切费用均计入报价；</w:t>
            </w:r>
          </w:p>
          <w:p>
            <w:pPr>
              <w:adjustRightInd w:val="0"/>
              <w:snapToGrid w:val="0"/>
              <w:spacing w:line="288" w:lineRule="auto"/>
              <w:rPr>
                <w:rFonts w:ascii="宋体" w:hAnsi="宋体" w:eastAsia="宋体"/>
                <w:szCs w:val="21"/>
              </w:rPr>
            </w:pPr>
            <w:r>
              <w:rPr>
                <w:rFonts w:hint="eastAsia" w:ascii="宋体" w:hAnsi="宋体" w:eastAsia="宋体"/>
                <w:szCs w:val="21"/>
              </w:rPr>
              <w:t>4.投标文件只允许有一个报价，有选择的报价将不予接受。</w:t>
            </w:r>
          </w:p>
          <w:p>
            <w:pPr>
              <w:pStyle w:val="13"/>
              <w:adjustRightInd w:val="0"/>
              <w:snapToGrid w:val="0"/>
              <w:spacing w:before="0" w:beforeLines="0" w:after="0" w:afterLines="0" w:line="288" w:lineRule="auto"/>
              <w:jc w:val="left"/>
              <w:rPr>
                <w:rFonts w:hAnsi="宋体" w:eastAsia="宋体" w:cs="宋体"/>
                <w:sz w:val="21"/>
                <w:szCs w:val="21"/>
              </w:rPr>
            </w:pPr>
            <w:r>
              <w:rPr>
                <w:rFonts w:hint="eastAsia" w:hAnsi="宋体" w:eastAsia="宋体" w:cs="宋体"/>
                <w:sz w:val="21"/>
                <w:szCs w:val="21"/>
              </w:rPr>
              <w:t>▲5</w:t>
            </w:r>
            <w:r>
              <w:rPr>
                <w:rFonts w:hAnsi="宋体" w:eastAsia="宋体" w:cs="宋体"/>
                <w:sz w:val="21"/>
                <w:szCs w:val="21"/>
              </w:rPr>
              <w:t>.</w:t>
            </w:r>
            <w:r>
              <w:rPr>
                <w:rFonts w:hint="eastAsia" w:hAnsi="宋体" w:eastAsia="宋体" w:cs="宋体"/>
                <w:sz w:val="21"/>
                <w:szCs w:val="21"/>
              </w:rPr>
              <w:t>采购人将以合同形式有偿取得货物或服务，不接受投标人给予的赠品、回扣或者与采购无关的其他商品、服务，不得出现“</w:t>
            </w:r>
            <w:r>
              <w:rPr>
                <w:rFonts w:hAnsi="宋体" w:eastAsia="宋体" w:cs="宋体"/>
                <w:sz w:val="21"/>
                <w:szCs w:val="21"/>
              </w:rPr>
              <w:t>0元”“免费赠送”等形式的无偿报价，否则视为投标文件含有采购人不能接受的附加条件的，投标无效。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（十二）</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投标有效期</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▲从提交投标文件的截止之日起</w:t>
            </w:r>
            <w:r>
              <w:rPr>
                <w:rFonts w:ascii="宋体" w:hAnsi="宋体" w:eastAsia="宋体"/>
                <w:szCs w:val="21"/>
              </w:rPr>
              <w:t>90天，在原投标有效期满之前，如果出现特殊情况，采购人或采购代理机构以书面形式通知投标人延长投标有效期。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（十三）</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评标方法和评标标准</w:t>
            </w:r>
          </w:p>
        </w:tc>
        <w:tc>
          <w:tcPr>
            <w:tcW w:w="6663" w:type="dxa"/>
            <w:vAlign w:val="center"/>
          </w:tcPr>
          <w:p>
            <w:pPr>
              <w:adjustRightInd w:val="0"/>
              <w:snapToGrid w:val="0"/>
              <w:spacing w:line="288" w:lineRule="auto"/>
              <w:rPr>
                <w:rFonts w:ascii="宋体" w:hAnsi="宋体" w:eastAsia="宋体"/>
                <w:szCs w:val="21"/>
              </w:rPr>
            </w:pPr>
            <w:r>
              <w:rPr>
                <w:rFonts w:ascii="宋体" w:hAnsi="宋体" w:eastAsia="宋体"/>
                <w:szCs w:val="21"/>
              </w:rPr>
              <w:t>详见“</w:t>
            </w:r>
            <w:r>
              <w:rPr>
                <w:rFonts w:hint="eastAsia" w:ascii="宋体" w:hAnsi="宋体" w:eastAsia="宋体"/>
                <w:szCs w:val="21"/>
              </w:rPr>
              <w:t>第四章  评标方法和评标标准</w:t>
            </w:r>
            <w:r>
              <w:rPr>
                <w:rFonts w:ascii="宋体" w:hAnsi="宋体" w:eastAsia="宋体"/>
                <w:szCs w:val="21"/>
              </w:rPr>
              <w:t>”</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ascii="宋体" w:hAnsi="宋体" w:eastAsia="宋体"/>
                <w:szCs w:val="21"/>
              </w:rPr>
              <w:t>（</w:t>
            </w:r>
            <w:r>
              <w:rPr>
                <w:rFonts w:hint="eastAsia" w:ascii="宋体" w:hAnsi="宋体" w:eastAsia="宋体"/>
                <w:szCs w:val="21"/>
              </w:rPr>
              <w:t>十四</w:t>
            </w:r>
            <w:r>
              <w:rPr>
                <w:rFonts w:ascii="宋体" w:hAnsi="宋体" w:eastAsia="宋体"/>
                <w:szCs w:val="21"/>
              </w:rPr>
              <w:t>）</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评标结果公示</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评标结果公示媒体：浙江政府采购网（http://zfcg.czt.zj.gov.cn）。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（十五）</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签订合同</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中标通知书发出之日起30日内。</w:t>
            </w:r>
          </w:p>
        </w:tc>
      </w:tr>
    </w:tbl>
    <w:p>
      <w:pPr>
        <w:adjustRightInd w:val="0"/>
        <w:snapToGrid w:val="0"/>
        <w:spacing w:line="288" w:lineRule="auto"/>
        <w:rPr>
          <w:rFonts w:ascii="宋体" w:hAnsi="宋体" w:eastAsia="宋体"/>
          <w:szCs w:val="21"/>
        </w:rPr>
      </w:pPr>
    </w:p>
    <w:p>
      <w:pPr>
        <w:adjustRightInd w:val="0"/>
        <w:snapToGrid w:val="0"/>
        <w:spacing w:line="288" w:lineRule="auto"/>
        <w:rPr>
          <w:rFonts w:ascii="宋体" w:hAnsi="宋体" w:eastAsia="宋体"/>
          <w:szCs w:val="21"/>
        </w:rPr>
      </w:pPr>
      <w:r>
        <w:rPr>
          <w:rFonts w:ascii="宋体" w:hAnsi="宋体" w:eastAsia="宋体"/>
          <w:szCs w:val="21"/>
        </w:rPr>
        <w:br w:type="page"/>
      </w:r>
    </w:p>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t>一</w:t>
      </w:r>
      <w:r>
        <w:rPr>
          <w:rFonts w:hint="eastAsia" w:ascii="宋体" w:hAnsi="宋体" w:eastAsia="宋体" w:cs="Times New Roman"/>
          <w:b/>
          <w:spacing w:val="-6"/>
          <w:szCs w:val="21"/>
        </w:rPr>
        <w:t>、</w:t>
      </w:r>
      <w:r>
        <w:rPr>
          <w:rFonts w:ascii="宋体" w:hAnsi="宋体" w:eastAsia="宋体" w:cs="Times New Roman"/>
          <w:b/>
          <w:spacing w:val="-6"/>
          <w:szCs w:val="21"/>
        </w:rPr>
        <w:t>总</w:t>
      </w:r>
      <w:r>
        <w:rPr>
          <w:rFonts w:hint="eastAsia" w:ascii="宋体" w:hAnsi="宋体" w:eastAsia="宋体" w:cs="Times New Roman"/>
          <w:b/>
          <w:spacing w:val="-6"/>
          <w:szCs w:val="21"/>
        </w:rPr>
        <w:t xml:space="preserve">  </w:t>
      </w:r>
      <w:r>
        <w:rPr>
          <w:rFonts w:ascii="宋体" w:hAnsi="宋体" w:eastAsia="宋体" w:cs="Times New Roman"/>
          <w:b/>
          <w:spacing w:val="-6"/>
          <w:szCs w:val="21"/>
        </w:rPr>
        <w:t>则</w:t>
      </w:r>
    </w:p>
    <w:p>
      <w:pPr>
        <w:adjustRightInd w:val="0"/>
        <w:snapToGrid w:val="0"/>
        <w:spacing w:line="288" w:lineRule="auto"/>
        <w:ind w:firstLine="396" w:firstLineChars="200"/>
        <w:jc w:val="left"/>
        <w:rPr>
          <w:rFonts w:ascii="宋体" w:hAnsi="宋体" w:eastAsia="宋体" w:cs="Times New Roman"/>
          <w:spacing w:val="-6"/>
          <w:szCs w:val="21"/>
        </w:rPr>
      </w:pPr>
      <w:bookmarkStart w:id="39" w:name="_Hlk94018326"/>
      <w:r>
        <w:rPr>
          <w:rFonts w:ascii="宋体" w:hAnsi="宋体" w:eastAsia="宋体" w:cs="Times New Roman"/>
          <w:spacing w:val="-6"/>
          <w:szCs w:val="21"/>
        </w:rPr>
        <w:t>投标人应仔细阅读招标文件的所有内容，按照招标文件的要求提交投标文件，并对所提供的全部资料的真实性承担法律责任。</w:t>
      </w:r>
    </w:p>
    <w:bookmarkEnd w:id="39"/>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（一</w:t>
      </w:r>
      <w:r>
        <w:rPr>
          <w:rFonts w:ascii="宋体" w:hAnsi="宋体" w:eastAsia="宋体" w:cs="Times New Roman"/>
          <w:b/>
          <w:spacing w:val="-6"/>
          <w:szCs w:val="21"/>
        </w:rPr>
        <w:t>）</w:t>
      </w:r>
      <w:r>
        <w:rPr>
          <w:rFonts w:hint="eastAsia" w:ascii="宋体" w:hAnsi="宋体" w:eastAsia="宋体" w:cs="Times New Roman"/>
          <w:b/>
          <w:spacing w:val="-6"/>
          <w:szCs w:val="21"/>
        </w:rPr>
        <w:t>适用范围</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本招标文件适用于浙江机电职业技术学院两校区交换机更新与安全性能提升的招标、评标、定标、验收、合同履约、付款等（法律、法规另有规定的，从其规定）。</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（二）定义</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1.“采购</w:t>
      </w:r>
      <w:r>
        <w:rPr>
          <w:rFonts w:ascii="宋体" w:hAnsi="宋体" w:eastAsia="宋体" w:cs="Times New Roman"/>
          <w:spacing w:val="-6"/>
          <w:szCs w:val="21"/>
        </w:rPr>
        <w:t>人</w:t>
      </w:r>
      <w:r>
        <w:rPr>
          <w:rFonts w:hint="eastAsia" w:ascii="宋体" w:hAnsi="宋体" w:eastAsia="宋体" w:cs="Times New Roman"/>
          <w:spacing w:val="-6"/>
          <w:szCs w:val="21"/>
        </w:rPr>
        <w:t>”系指浙江机电职业技术学院；</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2.“采购代理机构”系指组织本次招标的浙江求是招标代理有限公司；</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“投标人”系指响应招标、参加投标竞争的法人、其他组织或者自然人；</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4.“书面形式”包括合同书、信件和数据电文(包括电报、电传、传真、电子数据交换和电子邮件)等可以有形地表现所载内容的形式。</w:t>
      </w:r>
    </w:p>
    <w:p>
      <w:pPr>
        <w:adjustRightInd w:val="0"/>
        <w:snapToGrid w:val="0"/>
        <w:spacing w:line="288" w:lineRule="auto"/>
        <w:ind w:firstLine="396" w:firstLineChars="200"/>
        <w:jc w:val="left"/>
        <w:rPr>
          <w:rFonts w:ascii="宋体" w:hAnsi="宋体" w:eastAsia="宋体"/>
          <w:szCs w:val="21"/>
        </w:rPr>
      </w:pPr>
      <w:r>
        <w:rPr>
          <w:rFonts w:hint="eastAsia" w:ascii="宋体" w:hAnsi="宋体" w:eastAsia="宋体" w:cs="Times New Roman"/>
          <w:spacing w:val="-6"/>
          <w:szCs w:val="21"/>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0" w:name="_Hlk96327615"/>
      <w:r>
        <w:rPr>
          <w:rFonts w:ascii="宋体" w:hAnsi="宋体" w:eastAsia="宋体"/>
          <w:szCs w:val="21"/>
        </w:rPr>
        <w:t>“电子签名”系指数据电文中以电子形式所含、所附用于识别签名人身份并表明签名人认可其中内容的数据；</w:t>
      </w:r>
      <w:r>
        <w:rPr>
          <w:rFonts w:hint="eastAsia" w:ascii="宋体" w:hAnsi="宋体" w:eastAsia="宋体"/>
          <w:szCs w:val="21"/>
        </w:rPr>
        <w:t>“公章”系指单位法定名称章。因特殊原因需要使用冠以法定名称的业务专用章的，投标时须提供《业务专用章使用说明函》（附件1）。</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招标文件对投标文件签署、盖章的要求适用于电子签名。</w:t>
      </w:r>
    </w:p>
    <w:bookmarkEnd w:id="40"/>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6</w:t>
      </w:r>
      <w:r>
        <w:rPr>
          <w:rFonts w:hint="eastAsia" w:ascii="宋体" w:hAnsi="宋体" w:eastAsia="宋体" w:cs="Times New Roman"/>
          <w:spacing w:val="-6"/>
          <w:szCs w:val="21"/>
        </w:rPr>
        <w:t>.“▲”系指实质性要求条款，投标人应当做出实质性响应。</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（三）招标方式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本次招标采用公开招标（线上电子招投标）方式进行。</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（四）投标费用</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1.不论投标结果如何，投标人均应自行承担所有与投标有关的全部费用；</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2.中标人在中标通知书发出之日起七个工作日内，向采购代理机构交纳代理服务费；</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adjustRightInd w:val="0"/>
        <w:snapToGrid w:val="0"/>
        <w:spacing w:line="288" w:lineRule="auto"/>
        <w:ind w:firstLine="424" w:firstLineChars="202"/>
        <w:jc w:val="left"/>
        <w:rPr>
          <w:rFonts w:ascii="宋体" w:hAnsi="宋体" w:eastAsia="宋体" w:cs="Times New Roman"/>
          <w:spacing w:val="-6"/>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pacing w:val="-6"/>
          <w:szCs w:val="21"/>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28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中标金额（万元）</w:t>
            </w:r>
          </w:p>
        </w:tc>
        <w:tc>
          <w:tcPr>
            <w:tcW w:w="2833"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szCs w:val="21"/>
              </w:rPr>
              <w:t>100以下</w:t>
            </w:r>
          </w:p>
        </w:tc>
        <w:tc>
          <w:tcPr>
            <w:tcW w:w="2833"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szCs w:val="21"/>
              </w:rPr>
              <w:t>1.05%</w:t>
            </w:r>
            <w:r>
              <w:rPr>
                <w:rFonts w:hint="eastAsia" w:ascii="宋体" w:hAnsi="宋体" w:eastAsia="宋体"/>
                <w:szCs w:val="21"/>
              </w:rPr>
              <w:br w:type="textWrapping"/>
            </w:r>
            <w:r>
              <w:rPr>
                <w:rFonts w:hint="eastAsia" w:ascii="宋体" w:hAnsi="宋体" w:eastAsia="宋体"/>
                <w:szCs w:val="21"/>
              </w:rPr>
              <w:t>（不足3000元按3000元计）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szCs w:val="21"/>
              </w:rPr>
              <w:t>100-500</w:t>
            </w:r>
          </w:p>
        </w:tc>
        <w:tc>
          <w:tcPr>
            <w:tcW w:w="2833"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szCs w:val="21"/>
              </w:rPr>
              <w:t>0.77%</w:t>
            </w:r>
          </w:p>
        </w:tc>
      </w:tr>
    </w:tbl>
    <w:p>
      <w:pPr>
        <w:adjustRightInd w:val="0"/>
        <w:snapToGrid w:val="0"/>
        <w:spacing w:line="288" w:lineRule="auto"/>
        <w:ind w:firstLine="399" w:firstLineChars="202"/>
        <w:jc w:val="left"/>
        <w:rPr>
          <w:rFonts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投标保证金（元）：无。</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（五）投标委托</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1.投标人代表是法定代表人（单位负责人、自然人本人）的，须提供本人身份证明。</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2.投标人代表不是法定代表人（单位负责人、自然人本人）的，须提供授权委托书（格式详见招标文件第六章）和授权代表社保缴纳证明（2023年7月（含）以后任意一月）；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3.投标人委派不在本单位缴纳社保的人员作为授权代表的，应当在投标文件中，说明具体原因、授权代表缴纳社保的单位，并附列该授权代表缴纳社保清单。</w:t>
      </w:r>
    </w:p>
    <w:p>
      <w:pPr>
        <w:adjustRightInd w:val="0"/>
        <w:snapToGrid w:val="0"/>
        <w:spacing w:line="288" w:lineRule="auto"/>
        <w:rPr>
          <w:rFonts w:ascii="宋体" w:hAnsi="宋体" w:eastAsia="宋体" w:cs="宋体"/>
          <w:b/>
          <w:bCs/>
          <w:szCs w:val="21"/>
        </w:rPr>
      </w:pPr>
      <w:r>
        <w:rPr>
          <w:rFonts w:hint="eastAsia" w:ascii="宋体" w:hAnsi="宋体" w:eastAsia="宋体" w:cs="宋体"/>
          <w:b/>
          <w:bCs/>
          <w:szCs w:val="21"/>
        </w:rPr>
        <w:t>（六）联合体投标</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本项目</w:t>
      </w:r>
      <w:r>
        <w:rPr>
          <w:rFonts w:hint="eastAsia" w:ascii="宋体" w:hAnsi="宋体" w:eastAsia="宋体"/>
          <w:szCs w:val="21"/>
        </w:rPr>
        <w:t>（是）</w:t>
      </w:r>
      <w:r>
        <w:rPr>
          <w:rFonts w:hint="eastAsia" w:ascii="宋体" w:hAnsi="宋体" w:eastAsia="宋体" w:cs="宋体"/>
          <w:szCs w:val="21"/>
        </w:rPr>
        <w:t>接受联合体投标。</w:t>
      </w:r>
    </w:p>
    <w:p>
      <w:pPr>
        <w:spacing w:line="288" w:lineRule="auto"/>
        <w:ind w:firstLine="420" w:firstLineChars="200"/>
        <w:rPr>
          <w:rFonts w:ascii="宋体" w:hAnsi="宋体" w:eastAsia="宋体" w:cs="Times New Roman"/>
        </w:rPr>
      </w:pPr>
      <w:r>
        <w:rPr>
          <w:rFonts w:hint="eastAsia" w:ascii="宋体" w:hAnsi="宋体" w:eastAsia="宋体" w:cs="Times New Roman"/>
        </w:rPr>
        <w:t>两个以上的自然人、法人或者其他组织可以组成一个联合体，以一个供应商的身份共同参加政府采购。</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Times New Roman"/>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（七）转包与分包</w:t>
      </w:r>
    </w:p>
    <w:p>
      <w:pPr>
        <w:adjustRightInd w:val="0"/>
        <w:snapToGrid w:val="0"/>
        <w:spacing w:line="288" w:lineRule="auto"/>
        <w:ind w:firstLine="424" w:firstLineChars="202"/>
        <w:jc w:val="left"/>
        <w:rPr>
          <w:rFonts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本项目不允许转包；</w:t>
      </w:r>
    </w:p>
    <w:p>
      <w:pPr>
        <w:adjustRightInd w:val="0"/>
        <w:snapToGrid w:val="0"/>
        <w:spacing w:line="288" w:lineRule="auto"/>
        <w:ind w:firstLine="424" w:firstLineChars="202"/>
        <w:jc w:val="left"/>
        <w:rPr>
          <w:rFonts w:ascii="宋体" w:hAnsi="宋体" w:eastAsia="宋体"/>
          <w:color w:val="FF0000"/>
          <w:szCs w:val="21"/>
        </w:rPr>
      </w:pPr>
      <w:r>
        <w:rPr>
          <w:rFonts w:ascii="宋体" w:hAnsi="宋体" w:eastAsia="宋体"/>
          <w:color w:val="FF0000"/>
          <w:szCs w:val="21"/>
        </w:rPr>
        <w:t>2.</w:t>
      </w:r>
      <w:r>
        <w:rPr>
          <w:rFonts w:hint="eastAsia" w:ascii="宋体" w:hAnsi="宋体" w:eastAsia="宋体"/>
          <w:color w:val="FF0000"/>
          <w:szCs w:val="21"/>
        </w:rPr>
        <w:t>本项目</w:t>
      </w:r>
      <w:r>
        <w:rPr>
          <w:rFonts w:hint="eastAsia" w:ascii="宋体" w:hAnsi="宋体" w:eastAsia="宋体"/>
          <w:b/>
          <w:bCs/>
          <w:color w:val="FF0000"/>
          <w:szCs w:val="21"/>
          <w:u w:val="single"/>
        </w:rPr>
        <w:t>允许</w:t>
      </w:r>
      <w:r>
        <w:rPr>
          <w:rFonts w:hint="eastAsia" w:ascii="宋体" w:hAnsi="宋体" w:eastAsia="宋体"/>
          <w:color w:val="FF0000"/>
          <w:szCs w:val="21"/>
        </w:rPr>
        <w:t>分包，</w:t>
      </w:r>
      <w:r>
        <w:rPr>
          <w:rFonts w:ascii="宋体" w:hAnsi="宋体" w:eastAsia="宋体"/>
          <w:color w:val="FF0000"/>
          <w:szCs w:val="21"/>
        </w:rPr>
        <w:t>可以分包履行的（非主体、非关键性的工作）具体内容、金额或者比例：</w:t>
      </w:r>
    </w:p>
    <w:p>
      <w:pPr>
        <w:adjustRightInd w:val="0"/>
        <w:snapToGrid w:val="0"/>
        <w:spacing w:line="288" w:lineRule="auto"/>
        <w:ind w:firstLine="424" w:firstLineChars="202"/>
        <w:jc w:val="left"/>
        <w:rPr>
          <w:rFonts w:ascii="宋体" w:hAnsi="宋体" w:eastAsia="宋体"/>
          <w:color w:val="FF0000"/>
          <w:szCs w:val="21"/>
        </w:rPr>
      </w:pPr>
      <w:r>
        <w:rPr>
          <w:rFonts w:hint="eastAsia" w:ascii="宋体" w:hAnsi="宋体" w:eastAsia="宋体" w:cs="宋体"/>
          <w:szCs w:val="21"/>
        </w:rPr>
        <w:t>交换机（24口10G光纤三层）。</w:t>
      </w:r>
    </w:p>
    <w:p>
      <w:pPr>
        <w:adjustRightInd w:val="0"/>
        <w:snapToGrid w:val="0"/>
        <w:spacing w:line="288" w:lineRule="auto"/>
        <w:ind w:firstLine="424" w:firstLineChars="202"/>
        <w:jc w:val="left"/>
        <w:rPr>
          <w:rFonts w:ascii="宋体" w:hAnsi="宋体" w:eastAsia="宋体"/>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p>
      <w:pPr>
        <w:adjustRightInd w:val="0"/>
        <w:snapToGrid w:val="0"/>
        <w:spacing w:line="288" w:lineRule="auto"/>
        <w:ind w:firstLine="402" w:firstLineChars="202"/>
        <w:jc w:val="left"/>
        <w:rPr>
          <w:rFonts w:ascii="宋体" w:hAnsi="宋体" w:eastAsia="宋体" w:cs="Times New Roman"/>
          <w:b/>
          <w:spacing w:val="-6"/>
          <w:szCs w:val="21"/>
        </w:rPr>
      </w:pPr>
      <w:r>
        <w:rPr>
          <w:rFonts w:hint="eastAsia" w:ascii="宋体" w:hAnsi="宋体" w:eastAsia="宋体" w:cs="Times New Roman"/>
          <w:b/>
          <w:spacing w:val="-6"/>
          <w:szCs w:val="21"/>
        </w:rPr>
        <w:t>（八）质疑和投诉</w:t>
      </w:r>
    </w:p>
    <w:p>
      <w:pPr>
        <w:adjustRightInd w:val="0"/>
        <w:snapToGrid w:val="0"/>
        <w:spacing w:line="288" w:lineRule="auto"/>
        <w:ind w:firstLine="396" w:firstLineChars="200"/>
        <w:jc w:val="left"/>
        <w:rPr>
          <w:rFonts w:ascii="宋体" w:hAnsi="宋体" w:eastAsia="宋体" w:cs="Times New Roman"/>
          <w:spacing w:val="-6"/>
          <w:szCs w:val="21"/>
        </w:rPr>
      </w:pPr>
      <w:bookmarkStart w:id="41" w:name="_Hlk92273406"/>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供应商认为采购文件、采购过程、中标或者成交结果使自己的权益受到损害的，可以在知道或者应知其权益受到损害之日起</w:t>
      </w:r>
      <w:r>
        <w:rPr>
          <w:rFonts w:ascii="宋体" w:hAnsi="宋体" w:eastAsia="宋体" w:cs="Times New Roman"/>
          <w:spacing w:val="-6"/>
          <w:szCs w:val="21"/>
        </w:rPr>
        <w:t>7个工作日内，以书面形式向采购人、采购代理机构提出质疑。</w:t>
      </w:r>
      <w:r>
        <w:rPr>
          <w:rFonts w:hint="eastAsia" w:ascii="宋体" w:hAnsi="宋体" w:eastAsia="宋体" w:cs="Times New Roman"/>
          <w:spacing w:val="-6"/>
          <w:szCs w:val="21"/>
        </w:rPr>
        <w:t>质疑供应商对采购人、采购代理机构的答复不满意，或者采购人、采购代理机构未在规定时间内作出答复的，可以在答复期满后</w:t>
      </w:r>
      <w:r>
        <w:rPr>
          <w:rFonts w:ascii="宋体" w:hAnsi="宋体" w:eastAsia="宋体" w:cs="Times New Roman"/>
          <w:spacing w:val="-6"/>
          <w:szCs w:val="21"/>
        </w:rPr>
        <w:t>15个工作日内向</w:t>
      </w:r>
      <w:r>
        <w:rPr>
          <w:rFonts w:hint="eastAsia" w:ascii="宋体" w:hAnsi="宋体" w:eastAsia="宋体" w:cs="Times New Roman"/>
          <w:spacing w:val="-6"/>
          <w:szCs w:val="21"/>
        </w:rPr>
        <w:t>本级财政部门</w:t>
      </w:r>
      <w:r>
        <w:rPr>
          <w:rFonts w:ascii="宋体" w:hAnsi="宋体" w:eastAsia="宋体" w:cs="Times New Roman"/>
          <w:spacing w:val="-6"/>
          <w:szCs w:val="21"/>
        </w:rPr>
        <w:t>提起投诉。</w:t>
      </w:r>
    </w:p>
    <w:bookmarkEnd w:id="41"/>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cs="Times New Roman"/>
          <w:b/>
          <w:bCs/>
          <w:spacing w:val="-6"/>
          <w:szCs w:val="21"/>
        </w:rPr>
        <w:t>2.投标人提出质疑应当提交质疑函和必要的证明材料，质疑函范本、投诉书范本请到浙江政府采购网下载专区下载。质疑函应当包括下列内容：</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（1）供应商的姓名或者名称、地址、邮编、联系人及联系电话；</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（2）质疑项目的名称、编号；</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（3）具体、明确的质疑事项和与质疑事项相关的请求；</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（4）事实依据；</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（5）必要的法律依据；</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（6）提出质疑的日期。</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投标人为自然人的，应当由本人签名；投标人为法人或者其他组织的，应当由法定代表人、主要负责人，或者其授权代表签名或者盖章，并加盖公章。</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3.提出质疑的供应商应当是参与本项目招标活动的投标人。</w:t>
      </w:r>
      <w:r>
        <w:rPr>
          <w:rFonts w:hint="eastAsia" w:ascii="宋体" w:hAnsi="宋体" w:eastAsia="宋体" w:cs="Times New Roman"/>
          <w:b/>
          <w:spacing w:val="-6"/>
          <w:szCs w:val="21"/>
        </w:rPr>
        <w:t>投标人在法定质疑期内应一次性提出针对同一采购程序环节的质疑。</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4.根据《政府采购质疑和投诉办法》第三十七条的规定，投诉人在全国范围</w:t>
      </w:r>
      <w:r>
        <w:rPr>
          <w:rFonts w:ascii="宋体" w:hAnsi="宋体" w:eastAsia="宋体" w:cs="Times New Roman"/>
          <w:spacing w:val="-6"/>
          <w:szCs w:val="21"/>
        </w:rPr>
        <w:t>12</w:t>
      </w:r>
      <w:r>
        <w:rPr>
          <w:rFonts w:hint="eastAsia" w:ascii="宋体" w:hAnsi="宋体" w:eastAsia="宋体" w:cs="Times New Roman"/>
          <w:spacing w:val="-6"/>
          <w:szCs w:val="21"/>
        </w:rPr>
        <w:t>个月内三次以上投诉查无实据的，由财政部门列入不良行为记录名单。</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投诉人有下列行为之一的，属于虚假、恶意投诉，由财政部门列入不良行为记录名单，禁止其</w:t>
      </w:r>
      <w:r>
        <w:rPr>
          <w:rFonts w:ascii="宋体" w:hAnsi="宋体" w:eastAsia="宋体" w:cs="Times New Roman"/>
          <w:spacing w:val="-6"/>
          <w:szCs w:val="21"/>
        </w:rPr>
        <w:t>1</w:t>
      </w:r>
      <w:r>
        <w:rPr>
          <w:rFonts w:hint="eastAsia" w:ascii="宋体" w:hAnsi="宋体" w:eastAsia="宋体" w:cs="Times New Roman"/>
          <w:spacing w:val="-6"/>
          <w:szCs w:val="21"/>
        </w:rPr>
        <w:t>至</w:t>
      </w:r>
      <w:r>
        <w:rPr>
          <w:rFonts w:ascii="宋体" w:hAnsi="宋体" w:eastAsia="宋体" w:cs="Times New Roman"/>
          <w:spacing w:val="-6"/>
          <w:szCs w:val="21"/>
        </w:rPr>
        <w:t>3</w:t>
      </w:r>
      <w:r>
        <w:rPr>
          <w:rFonts w:hint="eastAsia" w:ascii="宋体" w:hAnsi="宋体" w:eastAsia="宋体" w:cs="Times New Roman"/>
          <w:spacing w:val="-6"/>
          <w:szCs w:val="21"/>
        </w:rPr>
        <w:t>年内参加政府采购活动：</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（1）捏造事实；</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（2）提供虚假材料；</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（3）以非法手段取得证明材料。证据来源的合法性存在明显疑问，投诉人无法证明其取得方式合法的，视为以非法手段取得证明材料。</w:t>
      </w:r>
    </w:p>
    <w:p>
      <w:pPr>
        <w:adjustRightInd w:val="0"/>
        <w:snapToGrid w:val="0"/>
        <w:spacing w:line="288" w:lineRule="auto"/>
        <w:rPr>
          <w:rFonts w:ascii="宋体" w:hAnsi="宋体" w:eastAsia="宋体" w:cs="宋体"/>
          <w:b/>
          <w:spacing w:val="-6"/>
          <w:kern w:val="0"/>
          <w:szCs w:val="21"/>
        </w:rPr>
      </w:pPr>
      <w:bookmarkStart w:id="42" w:name="_Hlk92273111"/>
      <w:bookmarkStart w:id="43" w:name="_Hlk94018492"/>
      <w:r>
        <w:rPr>
          <w:rFonts w:ascii="宋体" w:hAnsi="宋体" w:eastAsia="宋体" w:cs="宋体"/>
          <w:b/>
          <w:spacing w:val="-6"/>
          <w:kern w:val="0"/>
          <w:szCs w:val="21"/>
        </w:rPr>
        <w:t>（</w:t>
      </w:r>
      <w:r>
        <w:rPr>
          <w:rFonts w:hint="eastAsia" w:ascii="宋体" w:hAnsi="宋体" w:eastAsia="宋体" w:cs="宋体"/>
          <w:b/>
          <w:spacing w:val="-6"/>
          <w:kern w:val="0"/>
          <w:szCs w:val="21"/>
        </w:rPr>
        <w:t>九</w:t>
      </w:r>
      <w:r>
        <w:rPr>
          <w:rFonts w:ascii="宋体" w:hAnsi="宋体" w:eastAsia="宋体" w:cs="宋体"/>
          <w:b/>
          <w:spacing w:val="-6"/>
          <w:kern w:val="0"/>
          <w:szCs w:val="21"/>
        </w:rPr>
        <w:t>）</w:t>
      </w:r>
      <w:r>
        <w:rPr>
          <w:rFonts w:hint="eastAsia" w:ascii="宋体" w:hAnsi="宋体" w:eastAsia="宋体" w:cs="宋体"/>
          <w:b/>
          <w:spacing w:val="-6"/>
          <w:kern w:val="0"/>
          <w:szCs w:val="21"/>
        </w:rPr>
        <w:t>采购项目需要落实的政府采购政策</w:t>
      </w:r>
    </w:p>
    <w:p>
      <w:pPr>
        <w:adjustRightInd w:val="0"/>
        <w:snapToGrid w:val="0"/>
        <w:spacing w:line="288" w:lineRule="auto"/>
        <w:ind w:firstLine="398" w:firstLineChars="200"/>
        <w:jc w:val="left"/>
        <w:rPr>
          <w:rFonts w:ascii="宋体" w:hAnsi="宋体" w:eastAsia="宋体" w:cs="Times New Roman"/>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ascii="宋体" w:hAnsi="宋体" w:eastAsia="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adjustRightInd w:val="0"/>
        <w:snapToGrid w:val="0"/>
        <w:spacing w:line="288" w:lineRule="auto"/>
        <w:ind w:firstLine="398" w:firstLineChars="200"/>
        <w:jc w:val="left"/>
        <w:rPr>
          <w:rFonts w:ascii="宋体" w:hAnsi="宋体" w:eastAsia="宋体" w:cs="Times New Roman"/>
          <w:b/>
          <w:bCs/>
          <w:spacing w:val="-6"/>
          <w:szCs w:val="21"/>
        </w:rPr>
      </w:pPr>
      <w:r>
        <w:rPr>
          <w:rFonts w:ascii="宋体" w:hAnsi="宋体" w:eastAsia="宋体" w:cs="Times New Roman"/>
          <w:b/>
          <w:bCs/>
          <w:spacing w:val="-6"/>
          <w:szCs w:val="21"/>
        </w:rPr>
        <w:t>2.支持绿色发展</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pPr>
        <w:adjustRightInd w:val="0"/>
        <w:snapToGrid w:val="0"/>
        <w:spacing w:line="288" w:lineRule="auto"/>
        <w:ind w:firstLine="396" w:firstLineChars="200"/>
        <w:jc w:val="left"/>
        <w:rPr>
          <w:rFonts w:ascii="宋体" w:hAnsi="宋体" w:eastAsia="宋体" w:cs="Times New Roman"/>
          <w:spacing w:val="-6"/>
          <w:szCs w:val="21"/>
          <w:u w:val="single"/>
        </w:rPr>
      </w:pPr>
      <w:r>
        <w:rPr>
          <w:rFonts w:ascii="宋体" w:hAnsi="宋体" w:eastAsia="宋体" w:cs="Times New Roman"/>
          <w:spacing w:val="-6"/>
          <w:szCs w:val="21"/>
          <w:u w:val="single"/>
        </w:rPr>
        <w:t>▲采购人拟采购的产品属于政府强制采购的节能产品品目清单范围的，投标人未按招标文件要求提供国家确定的认证机构出具的、有效的节能产品认证证书的，投标无效。</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修缮、装修类项目采购建材的，采购人应将绿色建筑和绿色建材性能、指标等作为实质性条件纳入招标文件和合同。</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adjustRightInd w:val="0"/>
        <w:snapToGrid w:val="0"/>
        <w:spacing w:line="288" w:lineRule="auto"/>
        <w:ind w:firstLine="398" w:firstLineChars="200"/>
        <w:jc w:val="left"/>
        <w:rPr>
          <w:rFonts w:ascii="宋体" w:hAnsi="宋体" w:eastAsia="宋体" w:cs="Times New Roman"/>
          <w:b/>
          <w:bCs/>
          <w:spacing w:val="-6"/>
          <w:szCs w:val="21"/>
        </w:rPr>
      </w:pPr>
      <w:r>
        <w:rPr>
          <w:rFonts w:ascii="宋体" w:hAnsi="宋体" w:eastAsia="宋体" w:cs="Times New Roman"/>
          <w:b/>
          <w:bCs/>
          <w:spacing w:val="-6"/>
          <w:szCs w:val="21"/>
        </w:rPr>
        <w:t>3.</w:t>
      </w:r>
      <w:r>
        <w:rPr>
          <w:rFonts w:hint="eastAsia" w:ascii="宋体" w:hAnsi="宋体" w:eastAsia="宋体" w:cs="Times New Roman"/>
          <w:b/>
          <w:bCs/>
          <w:spacing w:val="-6"/>
          <w:szCs w:val="21"/>
        </w:rPr>
        <w:t>支持科技创新</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优先推荐专精特新中小企业、创新产品参加政府采购活动。对省级以上主管部门认定的首台套产品，自纳入《省推广应用指导目录》起三年内参加政府采购活动，视同已具备相应销售业绩，业绩分为满分。</w:t>
      </w:r>
      <w:bookmarkStart w:id="44" w:name="_Hlk106875293"/>
    </w:p>
    <w:bookmarkEnd w:id="44"/>
    <w:p>
      <w:pPr>
        <w:adjustRightInd w:val="0"/>
        <w:snapToGrid w:val="0"/>
        <w:spacing w:line="288" w:lineRule="auto"/>
        <w:ind w:firstLine="398" w:firstLineChars="200"/>
        <w:jc w:val="left"/>
        <w:rPr>
          <w:rFonts w:ascii="宋体" w:hAnsi="宋体" w:eastAsia="宋体" w:cs="Times New Roman"/>
          <w:b/>
          <w:bCs/>
          <w:spacing w:val="-6"/>
          <w:szCs w:val="21"/>
        </w:rPr>
      </w:pPr>
      <w:r>
        <w:rPr>
          <w:rFonts w:ascii="宋体" w:hAnsi="宋体" w:eastAsia="宋体" w:cs="Times New Roman"/>
          <w:b/>
          <w:bCs/>
          <w:spacing w:val="-6"/>
          <w:szCs w:val="21"/>
        </w:rPr>
        <w:t>4.支持中小企业发展</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符合中小企业划分标准的个体工商户，在政府采购活动中视同中小企业。</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在政府采购活动中，投标人提供的货物、工程或者服务符合下列情形的，享受中小企业扶持政策：</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在货物采购项目中，投标人提供的货物既有中小企业制造货物，也有大型企业制造货物的，不享受中小企业扶持政策。</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以联合体形式参加政府采购活动，联合体各方均为中小企业的，联合体视同中小企业。其中，联合体各方均为小微企业的，联合体视同小微企业。</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对于未预留份额专门面向中小企业的政府采购货物或服务项目，以及预留份额政府采购货物或服务项目中的非预留部分标项，对小型和微型企业的投标报价给予</w:t>
      </w:r>
      <w:r>
        <w:rPr>
          <w:rFonts w:hint="eastAsia" w:ascii="宋体" w:hAnsi="宋体" w:eastAsia="宋体" w:cs="Times New Roman"/>
          <w:spacing w:val="-6"/>
          <w:szCs w:val="21"/>
        </w:rPr>
        <w:t>1</w:t>
      </w:r>
      <w:r>
        <w:rPr>
          <w:rFonts w:ascii="宋体" w:hAnsi="宋体" w:eastAsia="宋体" w:cs="Times New Roman"/>
          <w:spacing w:val="-6"/>
          <w:szCs w:val="21"/>
        </w:rPr>
        <w:t>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eastAsia="宋体" w:cs="Times New Roman"/>
          <w:spacing w:val="-6"/>
          <w:szCs w:val="21"/>
        </w:rPr>
        <w:t>4</w:t>
      </w:r>
      <w:r>
        <w:rPr>
          <w:rFonts w:ascii="宋体" w:hAnsi="宋体" w:eastAsia="宋体" w:cs="Times New Roman"/>
          <w:spacing w:val="-6"/>
          <w:szCs w:val="21"/>
        </w:rPr>
        <w:t>%的扣除，用扣除后的价格参加评审。组成联合体或者接受分包的小微企业与联合体内其他企业、分包企业之间存在直接控</w:t>
      </w:r>
      <w:r>
        <w:rPr>
          <w:rFonts w:hint="eastAsia" w:ascii="宋体" w:hAnsi="宋体" w:eastAsia="宋体" w:cs="Times New Roman"/>
          <w:spacing w:val="-6"/>
          <w:szCs w:val="21"/>
        </w:rPr>
        <w:t>股、管理关系的，不享受价格扣除优惠政策。</w:t>
      </w:r>
    </w:p>
    <w:p>
      <w:pPr>
        <w:adjustRightInd w:val="0"/>
        <w:snapToGrid w:val="0"/>
        <w:spacing w:line="288" w:lineRule="auto"/>
        <w:ind w:firstLine="396" w:firstLineChars="200"/>
        <w:jc w:val="left"/>
        <w:rPr>
          <w:rFonts w:ascii="宋体" w:hAnsi="宋体" w:eastAsia="宋体" w:cs="Times New Roman"/>
          <w:spacing w:val="-6"/>
          <w:szCs w:val="21"/>
          <w:u w:val="single"/>
        </w:rPr>
      </w:pPr>
      <w:r>
        <w:rPr>
          <w:rFonts w:ascii="宋体" w:hAnsi="宋体" w:eastAsia="宋体" w:cs="Times New Roman"/>
          <w:spacing w:val="-6"/>
          <w:szCs w:val="21"/>
          <w:u w:val="single"/>
        </w:rPr>
        <w:t>符合《关于促进残疾人就业政府采购政策的通知》（财库〔2017〕141号）规定的条件并提供《残疾人福利性单位声明函》的残疾人福利性单位视同小型、微型企业；</w:t>
      </w:r>
    </w:p>
    <w:p>
      <w:pPr>
        <w:adjustRightInd w:val="0"/>
        <w:snapToGrid w:val="0"/>
        <w:spacing w:line="288" w:lineRule="auto"/>
        <w:ind w:firstLine="396" w:firstLineChars="200"/>
        <w:jc w:val="left"/>
        <w:rPr>
          <w:rFonts w:ascii="宋体" w:hAnsi="宋体" w:eastAsia="宋体" w:cs="Times New Roman"/>
          <w:spacing w:val="-6"/>
          <w:szCs w:val="21"/>
          <w:u w:val="single"/>
        </w:rPr>
      </w:pPr>
      <w:r>
        <w:rPr>
          <w:rFonts w:ascii="宋体" w:hAnsi="宋体" w:eastAsia="宋体" w:cs="Times New Roman"/>
          <w:spacing w:val="-6"/>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中小企业享受扶持政策获得政府采购合同的，小微企业不得将合同分包给大中型企业，中型企业不得将合同分包给大型企业。</w:t>
      </w:r>
      <w:bookmarkEnd w:id="42"/>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除财库</w:t>
      </w:r>
      <w:r>
        <w:rPr>
          <w:rFonts w:ascii="宋体" w:hAnsi="宋体" w:eastAsia="宋体" w:cs="Times New Roman"/>
          <w:spacing w:val="-6"/>
          <w:szCs w:val="21"/>
        </w:rPr>
        <w:t>《政府采购促进中小企业发展管理办法》</w:t>
      </w:r>
      <w:r>
        <w:rPr>
          <w:rFonts w:hint="eastAsia" w:ascii="宋体" w:hAnsi="宋体" w:eastAsia="宋体" w:cs="Times New Roman"/>
          <w:spacing w:val="-6"/>
          <w:szCs w:val="21"/>
        </w:rPr>
        <w:t>（财库〔</w:t>
      </w:r>
      <w:r>
        <w:rPr>
          <w:rFonts w:ascii="宋体" w:hAnsi="宋体" w:eastAsia="宋体" w:cs="Times New Roman"/>
          <w:spacing w:val="-6"/>
          <w:szCs w:val="21"/>
        </w:rPr>
        <w:t>2020〕46号</w:t>
      </w:r>
      <w:r>
        <w:rPr>
          <w:rFonts w:hint="eastAsia" w:ascii="宋体" w:hAnsi="宋体" w:eastAsia="宋体" w:cs="Times New Roman"/>
          <w:spacing w:val="-6"/>
          <w:szCs w:val="21"/>
        </w:rPr>
        <w:t>）、</w:t>
      </w:r>
      <w:r>
        <w:rPr>
          <w:rFonts w:ascii="宋体" w:hAnsi="宋体" w:eastAsia="宋体" w:cs="Times New Roman"/>
          <w:spacing w:val="-6"/>
          <w:szCs w:val="21"/>
        </w:rPr>
        <w:t>《关于促进残疾人就业政府采购政策的通知》（财库〔2017〕141号）</w:t>
      </w:r>
      <w:r>
        <w:rPr>
          <w:rFonts w:hint="eastAsia" w:ascii="宋体" w:hAnsi="宋体" w:eastAsia="宋体" w:cs="Times New Roman"/>
          <w:spacing w:val="-6"/>
          <w:szCs w:val="21"/>
        </w:rPr>
        <w:t>、</w:t>
      </w:r>
      <w:r>
        <w:rPr>
          <w:rFonts w:ascii="宋体" w:hAnsi="宋体" w:eastAsia="宋体" w:cs="Times New Roman"/>
          <w:spacing w:val="-6"/>
          <w:szCs w:val="21"/>
        </w:rPr>
        <w:t>《关于政府采购支持监狱企业发展有关问题的通知》（财库[2014]68号）规定企业类型以外的供应商不享受中小企业扶持政策</w:t>
      </w:r>
      <w:r>
        <w:rPr>
          <w:rFonts w:hint="eastAsia" w:ascii="宋体" w:hAnsi="宋体" w:eastAsia="宋体" w:cs="Times New Roman"/>
          <w:spacing w:val="-6"/>
          <w:szCs w:val="21"/>
        </w:rPr>
        <w:t>。</w:t>
      </w:r>
    </w:p>
    <w:bookmarkEnd w:id="43"/>
    <w:p>
      <w:pPr>
        <w:adjustRightInd w:val="0"/>
        <w:snapToGrid w:val="0"/>
        <w:spacing w:line="288" w:lineRule="auto"/>
        <w:ind w:firstLine="398" w:firstLineChars="200"/>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t>二</w:t>
      </w:r>
      <w:r>
        <w:rPr>
          <w:rFonts w:hint="eastAsia" w:ascii="宋体" w:hAnsi="宋体" w:eastAsia="宋体" w:cs="Times New Roman"/>
          <w:b/>
          <w:spacing w:val="-6"/>
          <w:szCs w:val="21"/>
        </w:rPr>
        <w:t>、招标文件</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（一）招标文件的构成</w:t>
      </w:r>
    </w:p>
    <w:p>
      <w:pPr>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本招标文件由以下部分组成：</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1.投标邀请</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2.采购需求</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3.投标人须知</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4.评标方法和评标标准</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5.拟签订的合同文本</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6.投标文件格式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7.本项目招标文件的澄清、答复、修改、补充的内容</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（二）招标文件的澄清与修改</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.采购人或者采购代理机构可以对已发出的招标文件进行必要的澄清或者修改</w:t>
      </w:r>
      <w:r>
        <w:rPr>
          <w:rFonts w:hint="eastAsia" w:ascii="宋体" w:hAnsi="宋体" w:eastAsia="宋体" w:cs="Times New Roman"/>
          <w:spacing w:val="-6"/>
          <w:szCs w:val="21"/>
        </w:rPr>
        <w:t>，</w:t>
      </w:r>
      <w:r>
        <w:rPr>
          <w:rFonts w:ascii="宋体" w:hAnsi="宋体" w:eastAsia="宋体" w:cs="Times New Roman"/>
          <w:spacing w:val="-6"/>
          <w:szCs w:val="21"/>
        </w:rPr>
        <w:t>澄清或者修改</w:t>
      </w:r>
      <w:r>
        <w:rPr>
          <w:rFonts w:hint="eastAsia" w:ascii="宋体" w:hAnsi="宋体" w:eastAsia="宋体" w:cs="Times New Roman"/>
          <w:spacing w:val="-6"/>
          <w:szCs w:val="21"/>
        </w:rPr>
        <w:t>会</w:t>
      </w:r>
      <w:r>
        <w:rPr>
          <w:rFonts w:ascii="宋体" w:hAnsi="宋体" w:eastAsia="宋体" w:cs="Times New Roman"/>
          <w:spacing w:val="-6"/>
          <w:szCs w:val="21"/>
        </w:rPr>
        <w:t>在原公告发布媒体上发布澄清公告</w:t>
      </w:r>
      <w:r>
        <w:rPr>
          <w:rFonts w:hint="eastAsia" w:ascii="宋体" w:hAnsi="宋体" w:eastAsia="宋体" w:cs="Times New Roman"/>
          <w:spacing w:val="-6"/>
          <w:szCs w:val="21"/>
        </w:rPr>
        <w:t>，</w:t>
      </w:r>
      <w:r>
        <w:rPr>
          <w:rFonts w:ascii="宋体" w:hAnsi="宋体" w:eastAsia="宋体" w:cs="Times New Roman"/>
          <w:spacing w:val="-6"/>
          <w:szCs w:val="21"/>
        </w:rPr>
        <w:t>澄清或者修改的内容为招标文件的组成部分。</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2.招标文件的修改将以书面形式通知所有获取招标文件的投标人，并对其具有约束力。投标人在收到上述通知后，应立即向采购</w:t>
      </w:r>
      <w:r>
        <w:rPr>
          <w:rFonts w:ascii="宋体" w:hAnsi="宋体" w:eastAsia="宋体" w:cs="Times New Roman"/>
          <w:spacing w:val="-6"/>
          <w:szCs w:val="21"/>
        </w:rPr>
        <w:t>代理机构</w:t>
      </w:r>
      <w:r>
        <w:rPr>
          <w:rFonts w:hint="eastAsia" w:ascii="宋体" w:hAnsi="宋体" w:eastAsia="宋体" w:cs="Times New Roman"/>
          <w:spacing w:val="-6"/>
          <w:szCs w:val="21"/>
        </w:rPr>
        <w:t>回函确认。若无书面回函确认，视同投标人已收到招标文件修改的通知，并受其约束。</w:t>
      </w:r>
    </w:p>
    <w:p>
      <w:pPr>
        <w:adjustRightInd w:val="0"/>
        <w:snapToGrid w:val="0"/>
        <w:spacing w:line="288" w:lineRule="auto"/>
        <w:jc w:val="center"/>
        <w:outlineLvl w:val="1"/>
        <w:rPr>
          <w:rFonts w:ascii="宋体" w:hAnsi="宋体" w:eastAsia="宋体" w:cs="Times New Roman"/>
          <w:spacing w:val="-6"/>
          <w:szCs w:val="21"/>
        </w:rPr>
      </w:pPr>
      <w:r>
        <w:rPr>
          <w:rFonts w:ascii="宋体" w:hAnsi="宋体" w:eastAsia="宋体" w:cs="Times New Roman"/>
          <w:spacing w:val="-6"/>
          <w:szCs w:val="21"/>
        </w:rPr>
        <w:br w:type="page"/>
      </w:r>
      <w:r>
        <w:rPr>
          <w:rFonts w:ascii="宋体" w:hAnsi="宋体" w:eastAsia="宋体" w:cs="Times New Roman"/>
          <w:b/>
          <w:spacing w:val="-6"/>
          <w:szCs w:val="21"/>
        </w:rPr>
        <w:t>三</w:t>
      </w:r>
      <w:r>
        <w:rPr>
          <w:rFonts w:hint="eastAsia" w:ascii="宋体" w:hAnsi="宋体" w:eastAsia="宋体" w:cs="Times New Roman"/>
          <w:b/>
          <w:spacing w:val="-6"/>
          <w:szCs w:val="21"/>
        </w:rPr>
        <w:t>、</w:t>
      </w:r>
      <w:r>
        <w:rPr>
          <w:rFonts w:ascii="宋体" w:hAnsi="宋体" w:eastAsia="宋体" w:cs="Times New Roman"/>
          <w:b/>
          <w:spacing w:val="-6"/>
          <w:szCs w:val="21"/>
        </w:rPr>
        <w:t>投标文件编制要求</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（一）投标文件的组成</w:t>
      </w:r>
    </w:p>
    <w:p>
      <w:pPr>
        <w:adjustRightInd w:val="0"/>
        <w:snapToGrid w:val="0"/>
        <w:spacing w:line="288" w:lineRule="auto"/>
        <w:ind w:firstLine="396" w:firstLineChars="200"/>
        <w:jc w:val="left"/>
        <w:rPr>
          <w:rFonts w:ascii="宋体" w:hAnsi="宋体" w:eastAsia="宋体" w:cs="Times New Roman"/>
          <w:spacing w:val="-6"/>
          <w:szCs w:val="21"/>
        </w:rPr>
      </w:pPr>
      <w:bookmarkStart w:id="45" w:name="_Hlk94018532"/>
      <w:r>
        <w:rPr>
          <w:rFonts w:hint="eastAsia" w:ascii="宋体" w:hAnsi="宋体" w:eastAsia="宋体" w:cs="Times New Roman"/>
          <w:spacing w:val="-6"/>
          <w:szCs w:val="21"/>
        </w:rPr>
        <w:t>投标文件（电子加密投标文件）由</w:t>
      </w:r>
      <w:r>
        <w:rPr>
          <w:rFonts w:hint="eastAsia" w:ascii="宋体" w:hAnsi="宋体" w:eastAsia="宋体" w:cs="Times New Roman"/>
          <w:b/>
          <w:spacing w:val="-6"/>
          <w:szCs w:val="21"/>
        </w:rPr>
        <w:t>资格文件、商务和技术文件、报价文件三部分</w:t>
      </w:r>
      <w:r>
        <w:rPr>
          <w:rFonts w:hint="eastAsia" w:ascii="宋体" w:hAnsi="宋体" w:eastAsia="宋体" w:cs="Times New Roman"/>
          <w:bCs/>
          <w:spacing w:val="-6"/>
          <w:szCs w:val="21"/>
        </w:rPr>
        <w:t>组成（格式详见招标文件第六章）。投标人应将投标文件各部分</w:t>
      </w:r>
      <w:r>
        <w:rPr>
          <w:rFonts w:hint="eastAsia" w:ascii="宋体" w:hAnsi="宋体" w:eastAsia="宋体" w:cs="Times New Roman"/>
          <w:b/>
          <w:spacing w:val="-6"/>
          <w:szCs w:val="21"/>
        </w:rPr>
        <w:t>分别上传</w:t>
      </w:r>
      <w:r>
        <w:rPr>
          <w:rFonts w:hint="eastAsia" w:ascii="宋体" w:hAnsi="宋体" w:eastAsia="宋体" w:cs="Times New Roman"/>
          <w:bCs/>
          <w:spacing w:val="-6"/>
          <w:szCs w:val="21"/>
        </w:rPr>
        <w:t>至政府采购云平台指定位置。</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投标文件组成：详见“第六章</w:t>
      </w:r>
      <w:r>
        <w:rPr>
          <w:rFonts w:ascii="宋体" w:hAnsi="宋体" w:eastAsia="宋体" w:cs="Times New Roman"/>
          <w:spacing w:val="-6"/>
          <w:szCs w:val="21"/>
        </w:rPr>
        <w:t xml:space="preserve">  投标文件格式</w:t>
      </w:r>
      <w:r>
        <w:rPr>
          <w:rFonts w:hint="eastAsia" w:ascii="宋体" w:hAnsi="宋体" w:eastAsia="宋体" w:cs="Times New Roman"/>
          <w:spacing w:val="-6"/>
          <w:szCs w:val="21"/>
        </w:rPr>
        <w:t>”目录</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如供应商提供的产品技术支持材料与采购需求偏离表响应不一致，以产品技术支持材料为准。</w:t>
      </w:r>
    </w:p>
    <w:bookmarkEnd w:id="45"/>
    <w:p>
      <w:pPr>
        <w:adjustRightInd w:val="0"/>
        <w:snapToGrid w:val="0"/>
        <w:spacing w:line="288" w:lineRule="auto"/>
        <w:jc w:val="left"/>
        <w:rPr>
          <w:rFonts w:ascii="宋体" w:hAnsi="宋体" w:eastAsia="宋体"/>
          <w:b/>
          <w:spacing w:val="-6"/>
          <w:szCs w:val="21"/>
        </w:rPr>
      </w:pPr>
      <w:r>
        <w:rPr>
          <w:rFonts w:hint="eastAsia" w:ascii="宋体" w:hAnsi="宋体" w:eastAsia="宋体"/>
          <w:b/>
          <w:spacing w:val="-6"/>
          <w:szCs w:val="21"/>
        </w:rPr>
        <w:t>（二）投标文件的签署和份数</w:t>
      </w:r>
    </w:p>
    <w:p>
      <w:pPr>
        <w:adjustRightInd w:val="0"/>
        <w:snapToGrid w:val="0"/>
        <w:spacing w:line="288" w:lineRule="auto"/>
        <w:ind w:firstLine="396" w:firstLineChars="200"/>
        <w:jc w:val="left"/>
        <w:rPr>
          <w:rFonts w:ascii="宋体" w:hAnsi="宋体" w:eastAsia="宋体"/>
          <w:b/>
          <w:bCs/>
          <w:spacing w:val="-6"/>
          <w:szCs w:val="21"/>
        </w:rPr>
      </w:pPr>
      <w:r>
        <w:rPr>
          <w:rFonts w:hint="eastAsia" w:ascii="宋体" w:hAnsi="宋体" w:eastAsia="宋体"/>
          <w:spacing w:val="-6"/>
          <w:szCs w:val="21"/>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spacing w:val="-6"/>
          <w:szCs w:val="21"/>
        </w:rPr>
        <w:t>其中资格文件、商务技术文件中不得出现投标报价，如因投标人原因提前泄露投标报价，是投标人的责任。</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2.投标文件须由投标人在规定位置</w:t>
      </w:r>
      <w:bookmarkStart w:id="46" w:name="_Hlk96329183"/>
      <w:r>
        <w:rPr>
          <w:rFonts w:hint="eastAsia" w:ascii="宋体" w:hAnsi="宋体" w:eastAsia="宋体"/>
          <w:spacing w:val="-6"/>
          <w:szCs w:val="21"/>
        </w:rPr>
        <w:t>加盖公章</w:t>
      </w:r>
      <w:bookmarkEnd w:id="46"/>
      <w:r>
        <w:rPr>
          <w:rFonts w:hint="eastAsia" w:ascii="宋体" w:hAnsi="宋体" w:eastAsia="宋体"/>
          <w:spacing w:val="-6"/>
          <w:szCs w:val="21"/>
        </w:rPr>
        <w:t>，投标人应写全称。</w:t>
      </w:r>
    </w:p>
    <w:p>
      <w:pPr>
        <w:adjustRightInd w:val="0"/>
        <w:snapToGrid w:val="0"/>
        <w:spacing w:line="288" w:lineRule="auto"/>
        <w:ind w:firstLine="396" w:firstLineChars="200"/>
        <w:jc w:val="left"/>
        <w:rPr>
          <w:rFonts w:ascii="宋体" w:hAnsi="宋体" w:eastAsia="宋体"/>
          <w:spacing w:val="-6"/>
          <w:szCs w:val="21"/>
        </w:rPr>
      </w:pPr>
      <w:r>
        <w:rPr>
          <w:rFonts w:ascii="宋体" w:hAnsi="宋体" w:eastAsia="宋体"/>
          <w:spacing w:val="-6"/>
          <w:szCs w:val="21"/>
        </w:rPr>
        <w:t>3.投标文件不得涂改，若有修改错漏处，须由投标人加盖公章，或者由投标人代表签名。投标文件因字迹潦草或表达不清所引起的后果由投标人负责。</w:t>
      </w:r>
    </w:p>
    <w:p>
      <w:pPr>
        <w:adjustRightInd w:val="0"/>
        <w:snapToGrid w:val="0"/>
        <w:spacing w:line="288" w:lineRule="auto"/>
        <w:ind w:firstLine="398" w:firstLineChars="200"/>
        <w:jc w:val="left"/>
        <w:rPr>
          <w:rFonts w:ascii="宋体" w:hAnsi="宋体" w:eastAsia="宋体"/>
          <w:b/>
          <w:bCs/>
          <w:spacing w:val="-6"/>
          <w:szCs w:val="21"/>
        </w:rPr>
      </w:pPr>
      <w:r>
        <w:rPr>
          <w:rFonts w:hint="eastAsia" w:ascii="宋体" w:hAnsi="宋体" w:eastAsia="宋体"/>
          <w:b/>
          <w:bCs/>
          <w:spacing w:val="-6"/>
          <w:szCs w:val="21"/>
        </w:rPr>
        <w:t>4.投标文件份数：</w:t>
      </w:r>
    </w:p>
    <w:p>
      <w:pPr>
        <w:adjustRightInd w:val="0"/>
        <w:snapToGrid w:val="0"/>
        <w:spacing w:line="288" w:lineRule="auto"/>
        <w:ind w:firstLine="398" w:firstLineChars="200"/>
        <w:jc w:val="left"/>
        <w:rPr>
          <w:rFonts w:ascii="宋体" w:hAnsi="宋体" w:eastAsia="宋体"/>
          <w:b/>
          <w:bCs/>
          <w:spacing w:val="-6"/>
          <w:szCs w:val="21"/>
        </w:rPr>
      </w:pPr>
      <w:r>
        <w:rPr>
          <w:rFonts w:hint="eastAsia" w:ascii="宋体" w:hAnsi="宋体" w:eastAsia="宋体"/>
          <w:b/>
          <w:bCs/>
          <w:spacing w:val="-6"/>
          <w:szCs w:val="21"/>
        </w:rPr>
        <w:t>电子加密投标文件：政府采购云平台在线上传一份；</w:t>
      </w:r>
    </w:p>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b/>
          <w:bCs/>
          <w:spacing w:val="-6"/>
          <w:szCs w:val="21"/>
        </w:rPr>
        <w:t>备份投标文件：密封包装后EMS或顺丰邮寄形式递交一份（邮寄地址：</w:t>
      </w:r>
      <w:r>
        <w:rPr>
          <w:rFonts w:hint="eastAsia" w:ascii="宋体" w:hAnsi="宋体" w:eastAsia="宋体" w:cs="宋体"/>
          <w:b/>
          <w:bCs/>
          <w:szCs w:val="21"/>
        </w:rPr>
        <w:t>杭州市西湖区玉古路173号中田大厦21楼H室，浙江求是招标代理有限公司（温瑶）收，电话：0571-87666115，寄出后将（快递单号、项目名称、公司名称、联系方式等相关信息）发至：zb03@qszb.net，以便查收）。</w:t>
      </w:r>
    </w:p>
    <w:p>
      <w:pPr>
        <w:adjustRightInd w:val="0"/>
        <w:snapToGrid w:val="0"/>
        <w:spacing w:line="288" w:lineRule="auto"/>
        <w:ind w:firstLine="422" w:firstLineChars="200"/>
        <w:jc w:val="left"/>
        <w:rPr>
          <w:rFonts w:ascii="宋体" w:hAnsi="宋体" w:eastAsia="宋体" w:cs="Times New Roman"/>
          <w:b/>
          <w:bCs/>
          <w:spacing w:val="-6"/>
          <w:szCs w:val="21"/>
        </w:rPr>
      </w:pPr>
      <w:r>
        <w:rPr>
          <w:rFonts w:hint="eastAsia" w:ascii="宋体" w:hAnsi="宋体" w:eastAsia="宋体" w:cs="宋体"/>
          <w:b/>
          <w:szCs w:val="21"/>
        </w:rPr>
        <w:t>特别说明：双休日和法定节假日不收件，投标人自行承担邮寄风险。</w:t>
      </w:r>
    </w:p>
    <w:p>
      <w:pPr>
        <w:adjustRightInd w:val="0"/>
        <w:snapToGrid w:val="0"/>
        <w:spacing w:line="288" w:lineRule="auto"/>
        <w:jc w:val="left"/>
        <w:rPr>
          <w:rFonts w:ascii="宋体" w:hAnsi="宋体" w:eastAsia="宋体"/>
          <w:b/>
          <w:spacing w:val="-6"/>
          <w:szCs w:val="21"/>
        </w:rPr>
      </w:pPr>
      <w:r>
        <w:rPr>
          <w:rFonts w:hint="eastAsia" w:ascii="宋体" w:hAnsi="宋体" w:eastAsia="宋体"/>
          <w:b/>
          <w:spacing w:val="-6"/>
          <w:szCs w:val="21"/>
        </w:rPr>
        <w:t>（三）投标文件的上传、递交、修改和撤回</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1.投标文件的上传、递交：</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（1）电子加密投标文件的上传：</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▲a.投标人应在投标截止时间前将电子加密投标文件成功上传至政府采购云平台，否则投标无效；</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b.电子加密投标文件成功上传后，投标人可自行打印投标文件接收回执。</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（2）备份投标文件的密封包装、递交：</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a.投标人在政府采购云平台完成电子加密投标文件的上传后，可以EMS或顺丰邮寄形式在投标截止时间前递交以介质（U盘）存储的数据电文形式的备份投标文件；</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b.备份投标文件应当密封包装并在包装上标注投标</w:t>
      </w:r>
      <w:r>
        <w:rPr>
          <w:rFonts w:hint="eastAsia" w:ascii="宋体" w:hAnsi="宋体" w:eastAsia="宋体"/>
          <w:spacing w:val="-6"/>
          <w:szCs w:val="21"/>
          <w:u w:val="single"/>
        </w:rPr>
        <w:t>项目名称、标项、投标人名称</w:t>
      </w:r>
      <w:r>
        <w:rPr>
          <w:rFonts w:hint="eastAsia" w:ascii="宋体" w:hAnsi="宋体" w:eastAsia="宋体"/>
          <w:spacing w:val="-6"/>
          <w:szCs w:val="21"/>
        </w:rPr>
        <w:t>并加盖公章（非电子签章），投标人逾期送达或者未密封包装的备份投标文件采购代理机构将予以拒收；</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▲c.通过政府采购云平台成功上传的电子加密投标文件已按时解密的，备份投标文件自动失效。</w:t>
      </w:r>
    </w:p>
    <w:p>
      <w:pPr>
        <w:adjustRightInd w:val="0"/>
        <w:snapToGrid w:val="0"/>
        <w:spacing w:line="288" w:lineRule="auto"/>
        <w:ind w:firstLine="396" w:firstLineChars="200"/>
        <w:jc w:val="left"/>
        <w:rPr>
          <w:rFonts w:ascii="宋体" w:hAnsi="宋体" w:eastAsia="宋体"/>
          <w:spacing w:val="-6"/>
          <w:szCs w:val="21"/>
        </w:rPr>
      </w:pPr>
      <w:bookmarkStart w:id="47" w:name="_Hlk94018616"/>
      <w:r>
        <w:rPr>
          <w:rFonts w:hint="eastAsia" w:ascii="宋体" w:hAnsi="宋体" w:eastAsia="宋体"/>
          <w:spacing w:val="-6"/>
          <w:szCs w:val="21"/>
        </w:rPr>
        <w:t>▲d.投标人仅递交备份投标文件而未将电子加密投标文件成功上传至政府采购云平台的，投标无效。</w:t>
      </w:r>
    </w:p>
    <w:bookmarkEnd w:id="47"/>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pPr>
        <w:adjustRightInd w:val="0"/>
        <w:snapToGrid w:val="0"/>
        <w:spacing w:line="288" w:lineRule="auto"/>
        <w:ind w:firstLine="396" w:firstLineChars="200"/>
        <w:jc w:val="left"/>
        <w:rPr>
          <w:rFonts w:ascii="宋体" w:hAnsi="宋体" w:eastAsia="宋体"/>
          <w:spacing w:val="-6"/>
          <w:szCs w:val="21"/>
        </w:rPr>
      </w:pPr>
      <w:r>
        <w:rPr>
          <w:rFonts w:ascii="宋体" w:hAnsi="宋体" w:eastAsia="宋体"/>
          <w:spacing w:val="-6"/>
          <w:szCs w:val="21"/>
        </w:rPr>
        <w:t>2</w:t>
      </w:r>
      <w:r>
        <w:rPr>
          <w:rFonts w:hint="eastAsia" w:ascii="宋体" w:hAnsi="宋体" w:eastAsia="宋体"/>
          <w:spacing w:val="-6"/>
          <w:szCs w:val="21"/>
        </w:rPr>
        <w:t>.投标人因未在线参加开标而导致电子加密投标文件无法按时解密等一切后果由投标人自行承担。</w:t>
      </w:r>
    </w:p>
    <w:p>
      <w:pPr>
        <w:adjustRightInd w:val="0"/>
        <w:snapToGrid w:val="0"/>
        <w:spacing w:line="288" w:lineRule="auto"/>
        <w:ind w:firstLine="396" w:firstLineChars="200"/>
        <w:jc w:val="left"/>
        <w:rPr>
          <w:rFonts w:ascii="宋体" w:hAnsi="宋体" w:eastAsia="宋体"/>
          <w:spacing w:val="-6"/>
          <w:szCs w:val="21"/>
        </w:rPr>
      </w:pPr>
      <w:r>
        <w:rPr>
          <w:rFonts w:ascii="宋体" w:hAnsi="宋体" w:eastAsia="宋体"/>
          <w:spacing w:val="-6"/>
          <w:szCs w:val="21"/>
        </w:rPr>
        <w:t>3</w:t>
      </w:r>
      <w:r>
        <w:rPr>
          <w:rFonts w:hint="eastAsia" w:ascii="宋体" w:hAnsi="宋体" w:eastAsia="宋体"/>
          <w:spacing w:val="-6"/>
          <w:szCs w:val="21"/>
        </w:rPr>
        <w:t>.投标人应按照招标文件和政府采购云平台的要求，根据投标文件的组成规定的内容及顺序通过政采云电子交易客户端（政采云投标客户端）编制加密投标文件。</w:t>
      </w:r>
    </w:p>
    <w:p>
      <w:pPr>
        <w:adjustRightInd w:val="0"/>
        <w:snapToGrid w:val="0"/>
        <w:spacing w:line="288" w:lineRule="auto"/>
        <w:ind w:firstLine="422" w:firstLineChars="200"/>
        <w:jc w:val="left"/>
        <w:rPr>
          <w:rFonts w:ascii="宋体" w:hAnsi="宋体" w:eastAsia="宋体"/>
          <w:b/>
          <w:bCs/>
          <w:szCs w:val="21"/>
        </w:rPr>
      </w:pPr>
      <w:r>
        <w:rPr>
          <w:rFonts w:hint="eastAsia" w:ascii="宋体" w:hAnsi="宋体" w:eastAsia="宋体"/>
          <w:b/>
          <w:bCs/>
          <w:szCs w:val="21"/>
        </w:rPr>
        <w:t>备注：投标人可通过浙江省“电子交易/不见面开评标”学习专题提前进行专题学习，熟悉操作，避免影响采购活动</w:t>
      </w:r>
      <w:r>
        <w:rPr>
          <w:rFonts w:hint="eastAsia" w:ascii="宋体" w:hAnsi="宋体" w:eastAsia="宋体"/>
          <w:b/>
          <w:bCs/>
          <w:color w:val="auto"/>
          <w:szCs w:val="21"/>
        </w:rPr>
        <w:t>（</w:t>
      </w:r>
      <w:r>
        <w:rPr>
          <w:color w:val="auto"/>
        </w:rPr>
        <w:fldChar w:fldCharType="begin"/>
      </w:r>
      <w:r>
        <w:rPr>
          <w:color w:val="auto"/>
        </w:rPr>
        <w:instrText xml:space="preserve"> HYPERLINK "https://edu.zcygov.cn/luban/e-biding" </w:instrText>
      </w:r>
      <w:r>
        <w:rPr>
          <w:color w:val="auto"/>
        </w:rPr>
        <w:fldChar w:fldCharType="separate"/>
      </w:r>
      <w:r>
        <w:rPr>
          <w:rStyle w:val="30"/>
          <w:rFonts w:hint="eastAsia" w:ascii="宋体" w:hAnsi="宋体" w:eastAsia="宋体"/>
          <w:b/>
          <w:bCs/>
          <w:color w:val="auto"/>
          <w:szCs w:val="21"/>
        </w:rPr>
        <w:t>https://edu.zcygov.cn/luban/e-biding</w:t>
      </w:r>
      <w:r>
        <w:rPr>
          <w:rStyle w:val="30"/>
          <w:rFonts w:hint="eastAsia" w:ascii="宋体" w:hAnsi="宋体" w:eastAsia="宋体"/>
          <w:b/>
          <w:bCs/>
          <w:color w:val="auto"/>
          <w:szCs w:val="21"/>
        </w:rPr>
        <w:fldChar w:fldCharType="end"/>
      </w:r>
      <w:r>
        <w:rPr>
          <w:rFonts w:hint="eastAsia" w:ascii="宋体" w:hAnsi="宋体" w:eastAsia="宋体"/>
          <w:b/>
          <w:bCs/>
          <w:color w:val="auto"/>
          <w:szCs w:val="21"/>
        </w:rPr>
        <w:t>）</w:t>
      </w:r>
      <w:r>
        <w:rPr>
          <w:rFonts w:hint="eastAsia" w:ascii="宋体" w:hAnsi="宋体" w:eastAsia="宋体"/>
          <w:b/>
          <w:bCs/>
          <w:szCs w:val="21"/>
        </w:rPr>
        <w:t>。</w:t>
      </w:r>
    </w:p>
    <w:p>
      <w:pPr>
        <w:adjustRightInd w:val="0"/>
        <w:snapToGrid w:val="0"/>
        <w:spacing w:line="288" w:lineRule="auto"/>
        <w:jc w:val="left"/>
        <w:rPr>
          <w:rFonts w:ascii="宋体" w:hAnsi="宋体" w:eastAsia="宋体"/>
          <w:b/>
          <w:spacing w:val="-6"/>
          <w:szCs w:val="21"/>
        </w:rPr>
      </w:pPr>
      <w:r>
        <w:rPr>
          <w:rFonts w:hint="eastAsia" w:ascii="宋体" w:hAnsi="宋体" w:eastAsia="宋体"/>
          <w:b/>
          <w:spacing w:val="-6"/>
          <w:szCs w:val="21"/>
        </w:rPr>
        <w:t>（四）投标文件的语言及计量</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pPr>
        <w:adjustRightInd w:val="0"/>
        <w:snapToGrid w:val="0"/>
        <w:spacing w:line="288" w:lineRule="auto"/>
        <w:jc w:val="left"/>
        <w:rPr>
          <w:rFonts w:ascii="宋体" w:hAnsi="宋体" w:eastAsia="宋体"/>
          <w:b/>
          <w:spacing w:val="-6"/>
          <w:szCs w:val="21"/>
        </w:rPr>
      </w:pPr>
      <w:r>
        <w:rPr>
          <w:rFonts w:hint="eastAsia" w:ascii="宋体" w:hAnsi="宋体" w:eastAsia="宋体"/>
          <w:b/>
          <w:spacing w:val="-6"/>
          <w:szCs w:val="21"/>
        </w:rPr>
        <w:t>（五）投标报价</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1.报价应按招标文件要求的格式编制、填写报价内容（可自行增行），未按招标文件要求编制、填写的投标文件可能被拒绝；</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2.以人民币报价；</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3.投标报价是履行合同的最终价格，有关本项目实施所涉及的一切费用均计入报价；</w:t>
      </w:r>
    </w:p>
    <w:p>
      <w:pPr>
        <w:pStyle w:val="13"/>
        <w:adjustRightInd w:val="0"/>
        <w:snapToGrid w:val="0"/>
        <w:spacing w:before="0" w:beforeLines="0" w:after="0" w:afterLines="0" w:line="288" w:lineRule="auto"/>
        <w:ind w:firstLine="420" w:firstLineChars="200"/>
        <w:jc w:val="left"/>
        <w:rPr>
          <w:rFonts w:hAnsi="宋体" w:eastAsia="宋体" w:cs="宋体"/>
          <w:sz w:val="21"/>
          <w:szCs w:val="21"/>
        </w:rPr>
      </w:pPr>
      <w:r>
        <w:rPr>
          <w:rFonts w:hint="eastAsia" w:hAnsi="宋体" w:eastAsia="宋体" w:cs="宋体"/>
          <w:sz w:val="21"/>
          <w:szCs w:val="21"/>
        </w:rPr>
        <w:t>4.投标文件只允许有一个报价，有选择的报价将不予接受。</w:t>
      </w:r>
    </w:p>
    <w:p>
      <w:pPr>
        <w:pStyle w:val="13"/>
        <w:adjustRightInd w:val="0"/>
        <w:snapToGrid w:val="0"/>
        <w:spacing w:before="0" w:beforeLines="0" w:after="0" w:afterLines="0" w:line="288" w:lineRule="auto"/>
        <w:ind w:firstLine="420" w:firstLineChars="200"/>
        <w:jc w:val="left"/>
        <w:rPr>
          <w:rFonts w:hAnsi="宋体" w:eastAsia="宋体" w:cs="宋体"/>
          <w:sz w:val="21"/>
          <w:szCs w:val="21"/>
        </w:rPr>
      </w:pPr>
      <w:bookmarkStart w:id="48" w:name="_Hlk94018664"/>
      <w:r>
        <w:rPr>
          <w:rFonts w:hint="eastAsia" w:hAnsi="宋体" w:eastAsia="宋体" w:cs="宋体"/>
          <w:sz w:val="21"/>
          <w:szCs w:val="21"/>
        </w:rPr>
        <w:t>▲5</w:t>
      </w:r>
      <w:r>
        <w:rPr>
          <w:rFonts w:hAnsi="宋体" w:eastAsia="宋体" w:cs="宋体"/>
          <w:sz w:val="21"/>
          <w:szCs w:val="21"/>
        </w:rPr>
        <w:t>.</w:t>
      </w:r>
      <w:r>
        <w:rPr>
          <w:rFonts w:hint="eastAsia" w:hAnsi="宋体" w:eastAsia="宋体" w:cs="宋体"/>
          <w:sz w:val="21"/>
          <w:szCs w:val="21"/>
        </w:rPr>
        <w:t>采购人将以合同形式有偿取得货物或服务，不接受投标人给予的赠品、回扣或者与采购无关的其他商品、服务，不得出现“</w:t>
      </w:r>
      <w:r>
        <w:rPr>
          <w:rFonts w:hAnsi="宋体" w:eastAsia="宋体" w:cs="宋体"/>
          <w:sz w:val="21"/>
          <w:szCs w:val="21"/>
        </w:rPr>
        <w:t>0元”“免费赠送”等形式的无偿报价，否则视为投标文件含有采购人不能接受的附加条件的，投标无效。</w:t>
      </w:r>
    </w:p>
    <w:bookmarkEnd w:id="48"/>
    <w:p>
      <w:pPr>
        <w:adjustRightInd w:val="0"/>
        <w:snapToGrid w:val="0"/>
        <w:spacing w:line="288" w:lineRule="auto"/>
        <w:jc w:val="left"/>
        <w:rPr>
          <w:rFonts w:ascii="宋体" w:hAnsi="宋体" w:eastAsia="宋体"/>
          <w:b/>
          <w:spacing w:val="-6"/>
          <w:szCs w:val="21"/>
        </w:rPr>
      </w:pPr>
      <w:r>
        <w:rPr>
          <w:rFonts w:hint="eastAsia" w:ascii="宋体" w:hAnsi="宋体" w:eastAsia="宋体"/>
          <w:b/>
          <w:spacing w:val="-6"/>
          <w:szCs w:val="21"/>
        </w:rPr>
        <w:t>（六）投标有效期</w:t>
      </w:r>
    </w:p>
    <w:p>
      <w:pPr>
        <w:pStyle w:val="13"/>
        <w:adjustRightInd w:val="0"/>
        <w:snapToGrid w:val="0"/>
        <w:spacing w:before="0" w:beforeLines="0" w:after="0" w:afterLines="0" w:line="288" w:lineRule="auto"/>
        <w:ind w:firstLine="396" w:firstLineChars="200"/>
        <w:jc w:val="left"/>
        <w:rPr>
          <w:rFonts w:hAnsi="宋体" w:eastAsia="宋体"/>
          <w:sz w:val="21"/>
          <w:szCs w:val="21"/>
        </w:rPr>
      </w:pPr>
      <w:r>
        <w:rPr>
          <w:rFonts w:hint="eastAsia" w:hAnsi="宋体" w:eastAsia="宋体"/>
          <w:spacing w:val="-6"/>
          <w:sz w:val="21"/>
          <w:szCs w:val="21"/>
        </w:rPr>
        <w:t>▲从提交投标文件的截止之日起</w:t>
      </w:r>
      <w:r>
        <w:rPr>
          <w:rFonts w:hAnsi="宋体" w:eastAsia="宋体"/>
          <w:spacing w:val="-6"/>
          <w:sz w:val="21"/>
          <w:szCs w:val="21"/>
        </w:rPr>
        <w:t>90天，在原投标有效期满之前，如果出现特殊情况，采购人或采购代理机构以书面形式通知投标人延长投标有效期。</w:t>
      </w:r>
    </w:p>
    <w:p>
      <w:pPr>
        <w:widowControl/>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jc w:val="center"/>
        <w:outlineLvl w:val="1"/>
        <w:rPr>
          <w:rFonts w:ascii="宋体" w:hAnsi="宋体" w:eastAsia="宋体" w:cs="Times New Roman"/>
          <w:b/>
          <w:spacing w:val="-6"/>
          <w:szCs w:val="21"/>
        </w:rPr>
      </w:pPr>
      <w:r>
        <w:rPr>
          <w:rFonts w:hint="eastAsia" w:ascii="宋体" w:hAnsi="宋体" w:eastAsia="宋体" w:cs="Times New Roman"/>
          <w:b/>
          <w:spacing w:val="-6"/>
          <w:szCs w:val="21"/>
        </w:rPr>
        <w:t>四、资格审查不通过、投标无效的情形</w:t>
      </w:r>
    </w:p>
    <w:p>
      <w:pPr>
        <w:adjustRightInd w:val="0"/>
        <w:snapToGrid w:val="0"/>
        <w:spacing w:line="288" w:lineRule="auto"/>
        <w:ind w:firstLine="420" w:firstLineChars="200"/>
        <w:rPr>
          <w:rFonts w:ascii="宋体" w:hAnsi="宋体" w:eastAsia="宋体" w:cs="宋体"/>
          <w:szCs w:val="21"/>
        </w:rPr>
      </w:pPr>
      <w:bookmarkStart w:id="49" w:name="_Hlk94018682"/>
      <w:r>
        <w:rPr>
          <w:rFonts w:hint="eastAsia" w:ascii="宋体" w:hAnsi="宋体" w:eastAsia="宋体" w:cs="宋体"/>
          <w:szCs w:val="21"/>
        </w:rPr>
        <w:t>未响应招标文件“▲”标记条款要求的，投标无效。</w:t>
      </w:r>
    </w:p>
    <w:bookmarkEnd w:id="49"/>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在资格审查时，如发现下列情形之一的，投标人将被视为资格审查不通过：</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资格证明</w:t>
      </w:r>
      <w:r>
        <w:rPr>
          <w:rFonts w:hint="eastAsia" w:ascii="宋体" w:hAnsi="宋体" w:eastAsia="宋体" w:cs="Times New Roman"/>
          <w:spacing w:val="-6"/>
          <w:szCs w:val="21"/>
        </w:rPr>
        <w:t>材料</w:t>
      </w:r>
      <w:r>
        <w:rPr>
          <w:rFonts w:ascii="宋体" w:hAnsi="宋体" w:eastAsia="宋体" w:cs="Times New Roman"/>
          <w:spacing w:val="-6"/>
          <w:szCs w:val="21"/>
        </w:rPr>
        <w:t>不全的，或者不符合</w:t>
      </w:r>
      <w:r>
        <w:rPr>
          <w:rFonts w:hint="eastAsia" w:ascii="宋体" w:hAnsi="宋体" w:eastAsia="宋体" w:cs="Times New Roman"/>
          <w:spacing w:val="-6"/>
          <w:szCs w:val="21"/>
        </w:rPr>
        <w:t>招标</w:t>
      </w:r>
      <w:r>
        <w:rPr>
          <w:rFonts w:ascii="宋体" w:hAnsi="宋体" w:eastAsia="宋体" w:cs="Times New Roman"/>
          <w:spacing w:val="-6"/>
          <w:szCs w:val="21"/>
        </w:rPr>
        <w:t>文件要求</w:t>
      </w:r>
      <w:r>
        <w:rPr>
          <w:rFonts w:hint="eastAsia" w:ascii="宋体" w:hAnsi="宋体" w:eastAsia="宋体" w:cs="Times New Roman"/>
          <w:spacing w:val="-6"/>
          <w:szCs w:val="21"/>
        </w:rPr>
        <w:t>；</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）投标人不具备招标文件中规定的资格要求；</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）资格</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pPr>
        <w:adjustRightInd w:val="0"/>
        <w:snapToGrid w:val="0"/>
        <w:spacing w:line="288" w:lineRule="auto"/>
        <w:ind w:firstLine="398" w:firstLineChars="200"/>
        <w:rPr>
          <w:rFonts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在符合</w:t>
      </w:r>
      <w:r>
        <w:rPr>
          <w:rFonts w:ascii="宋体" w:hAnsi="宋体" w:eastAsia="宋体" w:cs="Times New Roman"/>
          <w:b/>
          <w:spacing w:val="-6"/>
          <w:szCs w:val="21"/>
        </w:rPr>
        <w:t>性审查、</w:t>
      </w:r>
      <w:r>
        <w:rPr>
          <w:rFonts w:hint="eastAsia" w:ascii="宋体" w:hAnsi="宋体" w:eastAsia="宋体" w:cs="Times New Roman"/>
          <w:b/>
          <w:spacing w:val="-6"/>
          <w:szCs w:val="21"/>
        </w:rPr>
        <w:t>商务</w:t>
      </w:r>
      <w:r>
        <w:rPr>
          <w:rFonts w:ascii="宋体" w:hAnsi="宋体" w:eastAsia="宋体" w:cs="Times New Roman"/>
          <w:b/>
          <w:spacing w:val="-6"/>
          <w:szCs w:val="21"/>
        </w:rPr>
        <w:t>和技术评审</w:t>
      </w:r>
      <w:r>
        <w:rPr>
          <w:rFonts w:hint="eastAsia" w:ascii="宋体" w:hAnsi="宋体" w:eastAsia="宋体" w:cs="Times New Roman"/>
          <w:b/>
          <w:spacing w:val="-6"/>
          <w:szCs w:val="21"/>
        </w:rPr>
        <w:t>时，如发现下列情形之一的，投标文件将被视为无效：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（1）商务和技术文件未按要求签署、盖章；</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2）未提供或未按要求提供投标函、授权委托书；</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3）委托授权代表参加投标但未提供符合要求的授权代表社保缴纳证明；</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（4）未提供或未如实提供采购需求</w:t>
      </w:r>
      <w:r>
        <w:rPr>
          <w:rFonts w:ascii="宋体" w:hAnsi="宋体" w:eastAsia="宋体" w:cs="Times New Roman"/>
          <w:spacing w:val="-6"/>
          <w:szCs w:val="21"/>
        </w:rPr>
        <w:t>偏离表；</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（5）明显不符合招标文件要求，或负偏离达到规定数目的，视为采购人不能接受的附加条件；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6</w:t>
      </w:r>
      <w:r>
        <w:rPr>
          <w:rFonts w:hint="eastAsia" w:ascii="宋体" w:hAnsi="宋体" w:eastAsia="宋体" w:cs="Times New Roman"/>
          <w:spacing w:val="-6"/>
          <w:szCs w:val="21"/>
        </w:rPr>
        <w:t>）</w:t>
      </w:r>
      <w:r>
        <w:rPr>
          <w:rFonts w:ascii="宋体" w:hAnsi="宋体" w:eastAsia="宋体" w:cs="Times New Roman"/>
          <w:spacing w:val="-6"/>
          <w:szCs w:val="21"/>
        </w:rPr>
        <w:t>投标技术方案不明确，存在一个或一个以上备选（替代）投标方案；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7</w:t>
      </w:r>
      <w:r>
        <w:rPr>
          <w:rFonts w:hint="eastAsia" w:ascii="宋体" w:hAnsi="宋体" w:eastAsia="宋体" w:cs="Times New Roman"/>
          <w:spacing w:val="-6"/>
          <w:szCs w:val="21"/>
        </w:rPr>
        <w:t>）投标文件含有采购人不能接受的附加条件；</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8</w:t>
      </w:r>
      <w:r>
        <w:rPr>
          <w:rFonts w:hint="eastAsia" w:ascii="宋体" w:hAnsi="宋体" w:eastAsia="宋体" w:cs="Times New Roman"/>
          <w:spacing w:val="-6"/>
          <w:szCs w:val="21"/>
        </w:rPr>
        <w:t>）法律、法规和招标文件规定的其他无效情形。</w:t>
      </w:r>
    </w:p>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.在报价评审时，如发现下列情形之一的，投标文件将被视为无效：</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（1）报价</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）未按照招标文件标明的币种报价</w:t>
      </w:r>
      <w:r>
        <w:rPr>
          <w:rFonts w:hint="eastAsia" w:ascii="宋体" w:hAnsi="宋体" w:eastAsia="宋体" w:cs="Times New Roman"/>
          <w:spacing w:val="-6"/>
          <w:szCs w:val="21"/>
        </w:rPr>
        <w:t>；</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报价</w:t>
      </w:r>
      <w:r>
        <w:rPr>
          <w:rFonts w:hint="eastAsia" w:ascii="宋体" w:hAnsi="宋体" w:eastAsia="宋体" w:cs="Times New Roman"/>
          <w:spacing w:val="-6"/>
          <w:szCs w:val="21"/>
        </w:rPr>
        <w:t>内容有</w:t>
      </w:r>
      <w:r>
        <w:rPr>
          <w:rFonts w:ascii="宋体" w:hAnsi="宋体" w:eastAsia="宋体" w:cs="Times New Roman"/>
          <w:spacing w:val="-6"/>
          <w:szCs w:val="21"/>
        </w:rPr>
        <w:t>缺漏项</w:t>
      </w:r>
      <w:r>
        <w:rPr>
          <w:rFonts w:hint="eastAsia" w:ascii="宋体" w:hAnsi="宋体" w:eastAsia="宋体" w:cs="Times New Roman"/>
          <w:spacing w:val="-6"/>
          <w:szCs w:val="21"/>
        </w:rPr>
        <w:t>，或者</w:t>
      </w:r>
      <w:r>
        <w:rPr>
          <w:rFonts w:ascii="宋体" w:hAnsi="宋体" w:eastAsia="宋体" w:cs="Times New Roman"/>
          <w:spacing w:val="-6"/>
          <w:szCs w:val="21"/>
        </w:rPr>
        <w:t>与招标文件要求不一致</w:t>
      </w:r>
      <w:r>
        <w:rPr>
          <w:rFonts w:hint="eastAsia" w:ascii="宋体" w:hAnsi="宋体" w:eastAsia="宋体" w:cs="Times New Roman"/>
          <w:spacing w:val="-6"/>
          <w:szCs w:val="21"/>
        </w:rPr>
        <w:t>；</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（4）报价超过招标文件中规定的预算金额或者最高限价；</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（5）报价具有选择性；</w:t>
      </w:r>
    </w:p>
    <w:p>
      <w:pPr>
        <w:widowControl/>
        <w:adjustRightInd w:val="0"/>
        <w:snapToGrid w:val="0"/>
        <w:spacing w:line="288" w:lineRule="auto"/>
        <w:ind w:firstLine="396" w:firstLineChars="200"/>
        <w:jc w:val="left"/>
        <w:rPr>
          <w:rFonts w:ascii="宋体" w:hAnsi="宋体" w:eastAsia="宋体" w:cs="Times New Roman"/>
          <w:spacing w:val="-6"/>
          <w:szCs w:val="21"/>
        </w:rPr>
      </w:pPr>
      <w:bookmarkStart w:id="50" w:name="_Hlk94018736"/>
      <w:r>
        <w:rPr>
          <w:rFonts w:hint="eastAsia" w:ascii="宋体" w:hAnsi="宋体" w:eastAsia="宋体" w:cs="Times New Roman"/>
          <w:spacing w:val="-6"/>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0"/>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4</w:t>
      </w:r>
      <w:r>
        <w:rPr>
          <w:rFonts w:ascii="宋体" w:hAnsi="宋体" w:eastAsia="宋体" w:cs="Times New Roman"/>
          <w:b/>
          <w:spacing w:val="-6"/>
          <w:szCs w:val="21"/>
        </w:rPr>
        <w:t>.</w:t>
      </w:r>
      <w:r>
        <w:rPr>
          <w:rFonts w:hint="eastAsia" w:ascii="宋体" w:hAnsi="宋体" w:eastAsia="宋体" w:cs="Times New Roman"/>
          <w:b/>
          <w:spacing w:val="-6"/>
          <w:szCs w:val="21"/>
        </w:rPr>
        <w:t>有下列情形之一的，视为投标人串通投标，其投标无效：</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（1）不同投标人的投标文件由同一单位或者个人编制；</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（2）不同投标人委托同一单位或者个人办理投标事宜；</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（3）不同投标人的投标文件载明的项目管理成员或者联系人员为同一人；</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（4）不同投标人的投标文件异常一致或者投标报价呈规律性差异；</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（5）不同投标人的投标文件相互混装。</w:t>
      </w:r>
    </w:p>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五、开  标</w:t>
      </w:r>
    </w:p>
    <w:p>
      <w:pPr>
        <w:pStyle w:val="99"/>
        <w:snapToGrid w:val="0"/>
        <w:spacing w:before="0" w:line="288" w:lineRule="auto"/>
        <w:ind w:left="0" w:firstLine="424" w:firstLineChars="201"/>
        <w:rPr>
          <w:rFonts w:ascii="宋体" w:hAnsi="宋体"/>
          <w:szCs w:val="21"/>
        </w:rPr>
      </w:pPr>
      <w:bookmarkStart w:id="51" w:name="_Hlk94018775"/>
      <w:r>
        <w:rPr>
          <w:rFonts w:hint="eastAsia" w:ascii="宋体" w:hAnsi="宋体" w:cs="仿宋_GB2312"/>
          <w:b/>
          <w:szCs w:val="21"/>
        </w:rPr>
        <w:t>（一）</w:t>
      </w:r>
      <w:r>
        <w:rPr>
          <w:rFonts w:ascii="宋体" w:hAnsi="宋体" w:cs="仿宋_GB2312"/>
          <w:b/>
          <w:szCs w:val="21"/>
        </w:rPr>
        <w:t>开标</w:t>
      </w:r>
    </w:p>
    <w:p>
      <w:pPr>
        <w:pStyle w:val="99"/>
        <w:snapToGrid w:val="0"/>
        <w:spacing w:before="0" w:line="288" w:lineRule="auto"/>
        <w:ind w:left="0" w:firstLine="422" w:firstLineChars="201"/>
        <w:rPr>
          <w:rFonts w:ascii="宋体" w:hAnsi="宋体" w:cs="仿宋_GB2312"/>
          <w:szCs w:val="21"/>
        </w:rPr>
      </w:pPr>
      <w:r>
        <w:rPr>
          <w:rFonts w:ascii="宋体" w:hAnsi="宋体" w:cs="仿宋_GB2312"/>
          <w:szCs w:val="21"/>
        </w:rPr>
        <w:t>采购机构按照招标文件规定的时间通过电子交易平台组织开标，所有投标人均应当准时在线参加。投标人不足3家的，不得开标。</w:t>
      </w:r>
    </w:p>
    <w:p>
      <w:pPr>
        <w:pStyle w:val="99"/>
        <w:snapToGrid w:val="0"/>
        <w:spacing w:before="0" w:line="288" w:lineRule="auto"/>
        <w:ind w:left="0" w:firstLine="422" w:firstLineChars="201"/>
        <w:rPr>
          <w:rFonts w:ascii="宋体" w:hAnsi="宋体" w:cs="仿宋_GB2312"/>
          <w:szCs w:val="21"/>
        </w:rPr>
      </w:pPr>
      <w:r>
        <w:rPr>
          <w:rFonts w:ascii="宋体" w:hAnsi="宋体" w:cs="仿宋_GB2312"/>
          <w:szCs w:val="21"/>
        </w:rPr>
        <w:t>开标时，电子交易平台按开标时间自动提取所有投标文件。</w:t>
      </w:r>
      <w:r>
        <w:rPr>
          <w:rFonts w:hint="eastAsia" w:ascii="宋体" w:hAnsi="宋体" w:cs="仿宋_GB2312"/>
          <w:szCs w:val="21"/>
        </w:rPr>
        <w:t>采购人或代理</w:t>
      </w:r>
      <w:r>
        <w:rPr>
          <w:rFonts w:ascii="宋体" w:hAnsi="宋体" w:cs="仿宋_GB2312"/>
          <w:szCs w:val="21"/>
        </w:rPr>
        <w:t>机构依托电子交易平台发起开始解密指令，投标人按照平台提示和招标文件的规定在半小时内完成在线解密。</w:t>
      </w:r>
    </w:p>
    <w:p>
      <w:pPr>
        <w:adjustRightInd w:val="0"/>
        <w:snapToGrid w:val="0"/>
        <w:spacing w:line="288" w:lineRule="auto"/>
        <w:ind w:firstLine="422" w:firstLineChars="200"/>
        <w:rPr>
          <w:rFonts w:ascii="宋体" w:hAnsi="宋体" w:eastAsia="宋体" w:cs="仿宋_GB2312"/>
          <w:b/>
          <w:szCs w:val="21"/>
        </w:rPr>
      </w:pPr>
      <w:r>
        <w:rPr>
          <w:rFonts w:hint="eastAsia" w:ascii="宋体" w:hAnsi="宋体" w:eastAsia="宋体" w:cs="仿宋_GB2312"/>
          <w:b/>
          <w:szCs w:val="21"/>
        </w:rPr>
        <w:t>投标文件未按时解密，投标人提供了备份投标文件的，以备份投标文件作为依据，否则视为投标文件撤回。投标文件已按时解密的，备份投标文件自动失效。</w:t>
      </w:r>
    </w:p>
    <w:p>
      <w:pPr>
        <w:widowControl/>
        <w:adjustRightInd w:val="0"/>
        <w:snapToGrid w:val="0"/>
        <w:spacing w:line="288" w:lineRule="auto"/>
        <w:ind w:firstLine="424" w:firstLineChars="201"/>
        <w:jc w:val="left"/>
        <w:rPr>
          <w:rFonts w:ascii="宋体" w:hAnsi="宋体" w:eastAsia="宋体" w:cs="仿宋_GB2312"/>
          <w:b/>
          <w:szCs w:val="21"/>
        </w:rPr>
      </w:pPr>
      <w:r>
        <w:rPr>
          <w:rFonts w:hint="eastAsia" w:ascii="宋体" w:hAnsi="宋体" w:eastAsia="宋体" w:cs="仿宋_GB2312"/>
          <w:b/>
          <w:szCs w:val="21"/>
        </w:rPr>
        <w:t>（二）</w:t>
      </w:r>
      <w:r>
        <w:rPr>
          <w:rFonts w:ascii="宋体" w:hAnsi="宋体" w:eastAsia="宋体" w:cs="仿宋_GB2312"/>
          <w:b/>
          <w:szCs w:val="21"/>
        </w:rPr>
        <w:t>资格审查</w:t>
      </w:r>
    </w:p>
    <w:p>
      <w:pPr>
        <w:adjustRightInd w:val="0"/>
        <w:snapToGrid w:val="0"/>
        <w:spacing w:line="288" w:lineRule="auto"/>
        <w:ind w:firstLine="422" w:firstLineChars="201"/>
        <w:rPr>
          <w:rFonts w:ascii="宋体" w:hAnsi="宋体" w:eastAsia="宋体" w:cs="仿宋_GB2312"/>
          <w:szCs w:val="21"/>
        </w:rPr>
      </w:pPr>
      <w:r>
        <w:rPr>
          <w:rFonts w:ascii="宋体" w:hAnsi="宋体" w:eastAsia="宋体" w:cs="Arial"/>
          <w:kern w:val="0"/>
          <w:szCs w:val="21"/>
        </w:rPr>
        <w:t>开标后，</w:t>
      </w:r>
      <w:r>
        <w:rPr>
          <w:rFonts w:hint="eastAsia" w:ascii="宋体" w:hAnsi="宋体" w:eastAsia="宋体" w:cs="仿宋_GB2312"/>
          <w:szCs w:val="21"/>
        </w:rPr>
        <w:t>采购人或采购机构依据法律法规和招标文件的规定，对投标人的资格条件进行审查。</w:t>
      </w:r>
    </w:p>
    <w:p>
      <w:pPr>
        <w:pStyle w:val="98"/>
        <w:adjustRightInd w:val="0"/>
        <w:snapToGrid w:val="0"/>
        <w:spacing w:before="0" w:line="288" w:lineRule="auto"/>
        <w:ind w:firstLine="422" w:firstLineChars="201"/>
        <w:rPr>
          <w:rFonts w:ascii="宋体" w:hAnsi="宋体" w:cs="仿宋_GB2312"/>
          <w:sz w:val="21"/>
          <w:szCs w:val="21"/>
        </w:rPr>
      </w:pPr>
      <w:r>
        <w:rPr>
          <w:rFonts w:ascii="宋体" w:hAnsi="宋体" w:cs="仿宋_GB2312"/>
          <w:sz w:val="21"/>
          <w:szCs w:val="21"/>
        </w:rPr>
        <w:t>对未通过资格审查的投标人，采购人或采购机构告知其未通过的原因。</w:t>
      </w:r>
    </w:p>
    <w:p>
      <w:pPr>
        <w:pStyle w:val="98"/>
        <w:adjustRightInd w:val="0"/>
        <w:snapToGrid w:val="0"/>
        <w:spacing w:before="0" w:line="288" w:lineRule="auto"/>
        <w:ind w:firstLine="422" w:firstLineChars="201"/>
        <w:rPr>
          <w:rFonts w:ascii="宋体" w:hAnsi="宋体" w:cs="仿宋_GB2312"/>
          <w:sz w:val="21"/>
          <w:szCs w:val="21"/>
        </w:rPr>
      </w:pPr>
      <w:r>
        <w:rPr>
          <w:rFonts w:ascii="宋体" w:hAnsi="宋体" w:cs="仿宋_GB2312"/>
          <w:sz w:val="21"/>
          <w:szCs w:val="21"/>
        </w:rPr>
        <w:t>通过资格审查的投标人不足3家的，不再评标。</w:t>
      </w:r>
    </w:p>
    <w:p>
      <w:pPr>
        <w:pStyle w:val="98"/>
        <w:adjustRightInd w:val="0"/>
        <w:snapToGrid w:val="0"/>
        <w:spacing w:before="0" w:line="288" w:lineRule="auto"/>
        <w:ind w:firstLine="424" w:firstLineChars="201"/>
        <w:rPr>
          <w:rFonts w:ascii="宋体" w:hAnsi="宋体" w:cs="仿宋_GB2312"/>
          <w:b/>
          <w:sz w:val="21"/>
          <w:szCs w:val="21"/>
        </w:rPr>
      </w:pPr>
      <w:r>
        <w:rPr>
          <w:rFonts w:hint="eastAsia" w:ascii="宋体" w:hAnsi="宋体" w:cs="仿宋_GB2312"/>
          <w:b/>
          <w:sz w:val="21"/>
          <w:szCs w:val="21"/>
        </w:rPr>
        <w:t>（三）</w:t>
      </w:r>
      <w:r>
        <w:rPr>
          <w:rFonts w:ascii="宋体" w:hAnsi="宋体" w:cs="仿宋_GB2312"/>
          <w:b/>
          <w:sz w:val="21"/>
          <w:szCs w:val="21"/>
        </w:rPr>
        <w:t>信用信息查询</w:t>
      </w:r>
    </w:p>
    <w:p>
      <w:pPr>
        <w:pStyle w:val="98"/>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根据财库</w:t>
      </w:r>
      <w:r>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pPr>
        <w:pStyle w:val="98"/>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1）查询渠道：“信用中国”（www.creditchina.gov.cn）、“中国政府采购网”（www.ccgp.gov.cn）；</w:t>
      </w:r>
    </w:p>
    <w:p>
      <w:pPr>
        <w:pStyle w:val="98"/>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2）信用信息查询记录和证据留存具体方式：采购代理机构经办人和监督人员将查询网页打印、签名与其他采购文件一并保存；</w:t>
      </w:r>
    </w:p>
    <w:p>
      <w:pPr>
        <w:pStyle w:val="98"/>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pPr>
        <w:pStyle w:val="98"/>
        <w:adjustRightInd w:val="0"/>
        <w:snapToGrid w:val="0"/>
        <w:spacing w:before="0" w:line="288" w:lineRule="auto"/>
        <w:ind w:firstLine="422" w:firstLineChars="201"/>
        <w:rPr>
          <w:rFonts w:ascii="宋体" w:hAnsi="宋体" w:cs="仿宋_GB2312"/>
          <w:sz w:val="21"/>
          <w:szCs w:val="21"/>
        </w:rPr>
      </w:pPr>
      <w:r>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sz w:val="21"/>
          <w:szCs w:val="21"/>
        </w:rPr>
        <w:t>。</w:t>
      </w:r>
    </w:p>
    <w:p>
      <w:pPr>
        <w:adjustRightInd w:val="0"/>
        <w:snapToGrid w:val="0"/>
        <w:spacing w:line="288" w:lineRule="auto"/>
        <w:ind w:firstLine="398" w:firstLineChars="200"/>
        <w:rPr>
          <w:rFonts w:ascii="宋体" w:hAnsi="宋体" w:eastAsia="宋体" w:cs="Times New Roman"/>
          <w:b/>
          <w:bCs/>
          <w:color w:val="FF0000"/>
          <w:spacing w:val="-6"/>
          <w:szCs w:val="21"/>
        </w:rPr>
      </w:pPr>
    </w:p>
    <w:p>
      <w:pPr>
        <w:adjustRightInd w:val="0"/>
        <w:snapToGrid w:val="0"/>
        <w:spacing w:line="288" w:lineRule="auto"/>
        <w:ind w:firstLine="398" w:firstLineChars="200"/>
        <w:rPr>
          <w:rFonts w:ascii="宋体" w:hAnsi="宋体" w:eastAsia="宋体" w:cs="Times New Roman"/>
          <w:b/>
          <w:bCs/>
          <w:spacing w:val="-6"/>
          <w:szCs w:val="21"/>
        </w:rPr>
      </w:pPr>
      <w:r>
        <w:rPr>
          <w:rFonts w:hint="eastAsia" w:ascii="宋体" w:hAnsi="宋体" w:eastAsia="宋体" w:cs="Times New Roman"/>
          <w:b/>
          <w:bCs/>
          <w:spacing w:val="-6"/>
          <w:szCs w:val="21"/>
        </w:rPr>
        <w:t>特别说明：如遇政府采购云平台电子化开标或评审程序调整的，按调整后程序执行。</w:t>
      </w:r>
    </w:p>
    <w:bookmarkEnd w:id="51"/>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六、评  标</w:t>
      </w:r>
    </w:p>
    <w:p>
      <w:pPr>
        <w:adjustRightInd w:val="0"/>
        <w:snapToGrid w:val="0"/>
        <w:spacing w:line="288" w:lineRule="auto"/>
        <w:ind w:firstLine="420" w:firstLineChars="200"/>
        <w:rPr>
          <w:rFonts w:ascii="宋体" w:hAnsi="宋体" w:eastAsia="宋体" w:cs="宋体"/>
          <w:kern w:val="0"/>
          <w:szCs w:val="21"/>
        </w:rPr>
      </w:pPr>
      <w:bookmarkStart w:id="52" w:name="_Hlk94018958"/>
      <w:r>
        <w:rPr>
          <w:rFonts w:ascii="宋体" w:hAnsi="宋体" w:eastAsia="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pPr>
        <w:adjustRightInd w:val="0"/>
        <w:snapToGrid w:val="0"/>
        <w:spacing w:line="288" w:lineRule="auto"/>
        <w:ind w:firstLine="420" w:firstLineChars="200"/>
        <w:rPr>
          <w:rFonts w:ascii="宋体" w:hAnsi="宋体" w:eastAsia="宋体" w:cs="宋体"/>
          <w:kern w:val="0"/>
          <w:szCs w:val="21"/>
        </w:rPr>
      </w:pPr>
      <w:r>
        <w:rPr>
          <w:rFonts w:ascii="宋体" w:hAnsi="宋体" w:eastAsia="宋体" w:cs="宋体"/>
          <w:kern w:val="0"/>
          <w:szCs w:val="21"/>
        </w:rPr>
        <w:t>评标中因评标委员会成员缺席、回避或者健康等特殊原因导致评标委员会组成不符合规定的，依法补足后继续评标。被更换的评标委员会成员所作出的评标意见无效。</w:t>
      </w:r>
    </w:p>
    <w:bookmarkEnd w:id="52"/>
    <w:p>
      <w:pPr>
        <w:adjustRightInd w:val="0"/>
        <w:snapToGrid w:val="0"/>
        <w:spacing w:line="288" w:lineRule="auto"/>
        <w:ind w:firstLine="426" w:firstLineChars="202"/>
        <w:rPr>
          <w:rFonts w:ascii="宋体" w:hAnsi="宋体" w:eastAsia="宋体" w:cs="Arial"/>
          <w:b/>
          <w:kern w:val="0"/>
          <w:szCs w:val="21"/>
        </w:rPr>
      </w:pPr>
      <w:bookmarkStart w:id="53" w:name="_Hlk94019000"/>
      <w:r>
        <w:rPr>
          <w:rFonts w:hint="eastAsia" w:ascii="宋体" w:hAnsi="宋体" w:eastAsia="宋体" w:cs="Arial"/>
          <w:b/>
          <w:kern w:val="0"/>
          <w:szCs w:val="21"/>
        </w:rPr>
        <w:t>（一）</w:t>
      </w:r>
      <w:r>
        <w:rPr>
          <w:rFonts w:ascii="宋体" w:hAnsi="宋体" w:eastAsia="宋体" w:cs="Arial"/>
          <w:b/>
          <w:kern w:val="0"/>
          <w:szCs w:val="21"/>
        </w:rPr>
        <w:t>符合性审查</w:t>
      </w:r>
    </w:p>
    <w:p>
      <w:pPr>
        <w:adjustRightInd w:val="0"/>
        <w:snapToGrid w:val="0"/>
        <w:spacing w:line="288" w:lineRule="auto"/>
        <w:ind w:firstLine="424" w:firstLineChars="202"/>
        <w:rPr>
          <w:rFonts w:ascii="宋体" w:hAnsi="宋体" w:eastAsia="宋体" w:cs="Arial"/>
          <w:kern w:val="0"/>
          <w:szCs w:val="21"/>
        </w:rPr>
      </w:pPr>
      <w:r>
        <w:rPr>
          <w:rFonts w:ascii="宋体" w:hAnsi="宋体" w:eastAsia="宋体" w:cs="Arial"/>
          <w:kern w:val="0"/>
          <w:szCs w:val="21"/>
        </w:rPr>
        <w:t>评标委员会对符合资格的投标人的投标文件进行符合性审查，以确定其是否满足招标文件的实质性要求。</w:t>
      </w:r>
      <w:r>
        <w:rPr>
          <w:rFonts w:hint="eastAsia" w:ascii="宋体" w:hAnsi="宋体" w:eastAsia="宋体" w:cs="Arial"/>
          <w:kern w:val="0"/>
          <w:szCs w:val="21"/>
        </w:rPr>
        <w:t>不</w:t>
      </w:r>
      <w:r>
        <w:rPr>
          <w:rFonts w:ascii="宋体" w:hAnsi="宋体" w:eastAsia="宋体" w:cs="Arial"/>
          <w:kern w:val="0"/>
          <w:szCs w:val="21"/>
        </w:rPr>
        <w:t>满足招标文件的实质性要求</w:t>
      </w:r>
      <w:r>
        <w:rPr>
          <w:rFonts w:hint="eastAsia" w:ascii="宋体" w:hAnsi="宋体" w:eastAsia="宋体" w:cs="Arial"/>
          <w:kern w:val="0"/>
          <w:szCs w:val="21"/>
        </w:rPr>
        <w:t>的，投标无效。</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（二）比较与评价</w:t>
      </w:r>
    </w:p>
    <w:p>
      <w:pPr>
        <w:adjustRightInd w:val="0"/>
        <w:snapToGrid w:val="0"/>
        <w:spacing w:line="288" w:lineRule="auto"/>
        <w:ind w:firstLine="424" w:firstLineChars="202"/>
        <w:rPr>
          <w:rFonts w:ascii="宋体" w:hAnsi="宋体" w:eastAsia="宋体" w:cs="Arial"/>
          <w:kern w:val="0"/>
          <w:szCs w:val="21"/>
        </w:rPr>
      </w:pPr>
      <w:r>
        <w:rPr>
          <w:rFonts w:ascii="宋体" w:hAnsi="宋体" w:eastAsia="宋体" w:cs="Arial"/>
          <w:kern w:val="0"/>
          <w:szCs w:val="21"/>
        </w:rPr>
        <w:t>评标委员会按照招标文件中规定的评标方法和标准，对符合性审查合格的投标文件进行商务和技术评估，综合比较与评价。</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（三）</w:t>
      </w:r>
      <w:r>
        <w:rPr>
          <w:rFonts w:ascii="宋体" w:hAnsi="宋体" w:eastAsia="宋体" w:cs="Arial"/>
          <w:b/>
          <w:kern w:val="0"/>
          <w:szCs w:val="21"/>
        </w:rPr>
        <w:t>汇总商务技术得分</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评标委员会各成员独立对每个投标人的商务和技术文件进行评价，并汇总商务技术得分情况。</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（四）</w:t>
      </w:r>
      <w:r>
        <w:rPr>
          <w:rFonts w:ascii="宋体" w:hAnsi="宋体" w:eastAsia="宋体" w:cs="Arial"/>
          <w:b/>
          <w:kern w:val="0"/>
          <w:szCs w:val="21"/>
        </w:rPr>
        <w:t>报价评审</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政府采购云平台上传的电子投标（响应）文件报价与政府采购云平台录入报价不一致的，以上传的电子投标（响应）文件报价为准。</w:t>
      </w:r>
    </w:p>
    <w:p>
      <w:pPr>
        <w:adjustRightInd w:val="0"/>
        <w:snapToGrid w:val="0"/>
        <w:spacing w:line="288" w:lineRule="auto"/>
        <w:ind w:firstLine="426" w:firstLineChars="202"/>
        <w:rPr>
          <w:rFonts w:ascii="宋体" w:hAnsi="宋体" w:eastAsia="宋体" w:cs="Arial"/>
          <w:b/>
          <w:kern w:val="0"/>
          <w:szCs w:val="21"/>
        </w:rPr>
      </w:pPr>
      <w:r>
        <w:rPr>
          <w:rFonts w:ascii="宋体" w:hAnsi="宋体" w:eastAsia="宋体" w:cs="Arial"/>
          <w:b/>
          <w:kern w:val="0"/>
          <w:szCs w:val="21"/>
        </w:rPr>
        <w:t>投标文件报价出现前后不一致的，按照下列规定修正：</w:t>
      </w:r>
    </w:p>
    <w:p>
      <w:pPr>
        <w:pStyle w:val="98"/>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投标文件中开标一览表(报价表)内容与投标文件中相应内容不一致的，以开标一览表(报价表)为准；</w:t>
      </w:r>
    </w:p>
    <w:p>
      <w:pPr>
        <w:pStyle w:val="98"/>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大写金额和小写金额不一致的，以大写金额为准；</w:t>
      </w:r>
    </w:p>
    <w:p>
      <w:pPr>
        <w:pStyle w:val="98"/>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pPr>
        <w:pStyle w:val="98"/>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总价金额与按单价汇总金额不一致的，以单价金额计算结果为准。</w:t>
      </w:r>
    </w:p>
    <w:p>
      <w:pPr>
        <w:pStyle w:val="98"/>
        <w:adjustRightInd w:val="0"/>
        <w:snapToGrid w:val="0"/>
        <w:spacing w:before="0" w:line="288" w:lineRule="auto"/>
        <w:ind w:firstLine="424" w:firstLineChars="202"/>
        <w:rPr>
          <w:rFonts w:ascii="宋体" w:hAnsi="宋体" w:cs="仿宋"/>
          <w:kern w:val="0"/>
          <w:sz w:val="21"/>
          <w:szCs w:val="21"/>
        </w:rPr>
      </w:pPr>
      <w:r>
        <w:rPr>
          <w:rFonts w:hint="eastAsia" w:ascii="宋体" w:hAnsi="宋体" w:cs="仿宋"/>
          <w:kern w:val="0"/>
          <w:sz w:val="21"/>
          <w:szCs w:val="21"/>
        </w:rPr>
        <w:t>同时出现两种以上不一致的，按照前款规定的顺序修正。修正后的报价按照财政部第</w:t>
      </w:r>
      <w:r>
        <w:rPr>
          <w:rFonts w:ascii="宋体" w:hAnsi="宋体" w:cs="仿宋"/>
          <w:kern w:val="0"/>
          <w:sz w:val="21"/>
          <w:szCs w:val="21"/>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pPr>
        <w:pStyle w:val="98"/>
        <w:adjustRightInd w:val="0"/>
        <w:snapToGrid w:val="0"/>
        <w:spacing w:before="0" w:line="288" w:lineRule="auto"/>
        <w:ind w:firstLine="424" w:firstLineChars="202"/>
        <w:rPr>
          <w:rFonts w:ascii="宋体" w:hAnsi="宋体" w:cs="仿宋"/>
          <w:kern w:val="0"/>
          <w:sz w:val="21"/>
          <w:szCs w:val="21"/>
        </w:rPr>
      </w:pPr>
      <w:r>
        <w:rPr>
          <w:rFonts w:hint="eastAsia" w:ascii="宋体" w:hAnsi="宋体" w:cs="仿宋"/>
          <w:kern w:val="0"/>
          <w:sz w:val="21"/>
          <w:szCs w:val="21"/>
        </w:rPr>
        <w:t>投标人收到修正确认文件后，在规定时间内未做出回复的，视为不确认。</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（五）投标人澄清、说明或者补正</w:t>
      </w:r>
    </w:p>
    <w:p>
      <w:pPr>
        <w:pStyle w:val="98"/>
        <w:adjustRightInd w:val="0"/>
        <w:snapToGrid w:val="0"/>
        <w:spacing w:before="0" w:line="288" w:lineRule="auto"/>
        <w:ind w:firstLine="424" w:firstLineChars="202"/>
        <w:rPr>
          <w:rFonts w:ascii="宋体" w:hAnsi="宋体" w:cs="Arial"/>
          <w:kern w:val="0"/>
          <w:sz w:val="21"/>
          <w:szCs w:val="21"/>
        </w:rPr>
      </w:pPr>
      <w:r>
        <w:rPr>
          <w:rFonts w:hint="eastAsia" w:ascii="宋体" w:hAnsi="宋体" w:cs="Arial"/>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adjustRightInd w:val="0"/>
        <w:snapToGrid w:val="0"/>
        <w:spacing w:line="288" w:lineRule="auto"/>
        <w:ind w:firstLine="420" w:firstLineChars="200"/>
        <w:rPr>
          <w:rFonts w:ascii="宋体" w:hAnsi="宋体" w:eastAsia="宋体" w:cs="宋体"/>
          <w:kern w:val="0"/>
          <w:szCs w:val="21"/>
        </w:rPr>
      </w:pPr>
      <w:r>
        <w:rPr>
          <w:rFonts w:hint="eastAsia" w:ascii="宋体" w:hAnsi="宋体" w:eastAsia="宋体" w:cs="宋体"/>
          <w:kern w:val="0"/>
          <w:szCs w:val="21"/>
        </w:rPr>
        <w:t>投标人的书面澄清、说明或者补正无法通过政府采购云平台上传的，可在规定时间内（不少于半小时）通过指定的电子邮箱（</w:t>
      </w:r>
      <w:r>
        <w:rPr>
          <w:rFonts w:ascii="宋体" w:hAnsi="宋体" w:eastAsia="宋体" w:cs="宋体"/>
          <w:kern w:val="0"/>
          <w:szCs w:val="21"/>
        </w:rPr>
        <w:t>zb03@qszb.net）或传真号码（0571-87666116）提交。</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（六）排序与推荐</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评标方法：本项目评标方法是综合评分法，具体评标方法和评标标准详见“第四章：评标方法和评标标准”。</w:t>
      </w:r>
    </w:p>
    <w:p>
      <w:pPr>
        <w:adjustRightInd w:val="0"/>
        <w:snapToGrid w:val="0"/>
        <w:spacing w:line="288" w:lineRule="auto"/>
        <w:ind w:firstLine="424" w:firstLineChars="202"/>
        <w:rPr>
          <w:rFonts w:ascii="宋体" w:hAnsi="宋体" w:eastAsia="宋体" w:cs="Times New Roman"/>
          <w:bCs/>
          <w:spacing w:val="-6"/>
          <w:szCs w:val="21"/>
        </w:rPr>
      </w:pPr>
      <w:r>
        <w:rPr>
          <w:rFonts w:ascii="宋体" w:hAnsi="宋体" w:eastAsia="宋体" w:cs="Arial"/>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kern w:val="0"/>
          <w:szCs w:val="21"/>
        </w:rPr>
        <w:t>。本项目推荐</w:t>
      </w:r>
      <w:r>
        <w:rPr>
          <w:rFonts w:ascii="宋体" w:hAnsi="宋体" w:eastAsia="宋体" w:cs="Arial"/>
          <w:kern w:val="0"/>
          <w:szCs w:val="21"/>
        </w:rPr>
        <w:t>1</w:t>
      </w:r>
      <w:r>
        <w:rPr>
          <w:rFonts w:hint="eastAsia" w:ascii="宋体" w:hAnsi="宋体" w:eastAsia="宋体" w:cs="Arial"/>
          <w:kern w:val="0"/>
          <w:szCs w:val="21"/>
        </w:rPr>
        <w:t>名中标候选人。</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非单一产品采购项目，采购人应当根据采购项目技术构成、产品价格比重等合理确定核心产品，并在招标文件中载明。多家投标人提供的核心产品品牌相同的，按前款规定处理。</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（七）</w:t>
      </w:r>
      <w:r>
        <w:rPr>
          <w:rFonts w:ascii="宋体" w:hAnsi="宋体" w:eastAsia="宋体" w:cs="Arial"/>
          <w:b/>
          <w:kern w:val="0"/>
          <w:szCs w:val="21"/>
        </w:rPr>
        <w:t>编写评标报告</w:t>
      </w:r>
    </w:p>
    <w:p>
      <w:pPr>
        <w:adjustRightInd w:val="0"/>
        <w:snapToGrid w:val="0"/>
        <w:spacing w:line="288" w:lineRule="auto"/>
        <w:ind w:firstLine="424" w:firstLineChars="202"/>
        <w:rPr>
          <w:rFonts w:ascii="宋体" w:hAnsi="宋体" w:eastAsia="宋体" w:cs="Arial"/>
          <w:kern w:val="0"/>
          <w:szCs w:val="21"/>
        </w:rPr>
      </w:pPr>
      <w:r>
        <w:rPr>
          <w:rFonts w:ascii="宋体" w:hAnsi="宋体" w:eastAsia="宋体" w:cs="Arial"/>
          <w:kern w:val="0"/>
          <w:szCs w:val="21"/>
        </w:rPr>
        <w:t>评标委员会根据全体评标成员签名的原始评标记录和评标结果编写评标报告。</w:t>
      </w:r>
      <w:r>
        <w:rPr>
          <w:rFonts w:hint="eastAsia" w:ascii="宋体" w:hAnsi="宋体" w:eastAsia="宋体" w:cs="Arial"/>
          <w:kern w:val="0"/>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53"/>
    <w:p>
      <w:pPr>
        <w:widowControl/>
        <w:adjustRightInd w:val="0"/>
        <w:snapToGrid w:val="0"/>
        <w:spacing w:line="288" w:lineRule="auto"/>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jc w:val="center"/>
        <w:outlineLvl w:val="1"/>
        <w:rPr>
          <w:rFonts w:ascii="宋体" w:hAnsi="宋体" w:eastAsia="宋体" w:cs="Times New Roman"/>
          <w:b/>
          <w:spacing w:val="-6"/>
          <w:szCs w:val="21"/>
        </w:rPr>
      </w:pPr>
      <w:r>
        <w:rPr>
          <w:rFonts w:hint="eastAsia" w:ascii="宋体" w:hAnsi="宋体" w:eastAsia="宋体" w:cs="Times New Roman"/>
          <w:b/>
          <w:spacing w:val="-6"/>
          <w:szCs w:val="21"/>
        </w:rPr>
        <w:t>七、中标与合同</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（一）中标</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1.采购代理机构应当在评标结束后</w:t>
      </w:r>
      <w:r>
        <w:rPr>
          <w:rFonts w:ascii="宋体" w:hAnsi="宋体" w:eastAsia="宋体" w:cs="Times New Roman"/>
          <w:spacing w:val="-6"/>
          <w:szCs w:val="21"/>
        </w:rPr>
        <w:t>2个工作日内将评标报告送采购人。</w:t>
      </w:r>
      <w:r>
        <w:rPr>
          <w:rFonts w:hint="eastAsia" w:ascii="宋体" w:hAnsi="宋体" w:eastAsia="宋体" w:cs="Times New Roman"/>
          <w:spacing w:val="-6"/>
          <w:szCs w:val="21"/>
        </w:rPr>
        <w:t>采购人应当自收到评标报告之日起</w:t>
      </w:r>
      <w:r>
        <w:rPr>
          <w:rFonts w:ascii="宋体" w:hAnsi="宋体" w:eastAsia="宋体" w:cs="Times New Roman"/>
          <w:spacing w:val="-6"/>
          <w:szCs w:val="21"/>
        </w:rPr>
        <w:t>5个工作日内，在评标报告确定的中标候选人名单中按顺序确定中标人</w:t>
      </w:r>
      <w:r>
        <w:rPr>
          <w:rFonts w:hint="eastAsia" w:ascii="宋体" w:hAnsi="宋体" w:eastAsia="宋体" w:cs="Times New Roman"/>
          <w:spacing w:val="-6"/>
          <w:szCs w:val="21"/>
        </w:rPr>
        <w:t>，也可以书面授权评标委员会直接确定中标人。</w:t>
      </w:r>
      <w:r>
        <w:rPr>
          <w:rFonts w:ascii="宋体" w:hAnsi="宋体" w:eastAsia="宋体" w:cs="Times New Roman"/>
          <w:spacing w:val="-6"/>
          <w:szCs w:val="21"/>
        </w:rPr>
        <w:t>中标候选人并列的</w:t>
      </w:r>
      <w:r>
        <w:rPr>
          <w:rFonts w:hint="eastAsia" w:ascii="宋体" w:hAnsi="宋体" w:eastAsia="宋体" w:cs="Arial"/>
          <w:kern w:val="0"/>
          <w:szCs w:val="21"/>
        </w:rPr>
        <w:t>，采取随机抽取的方式确定</w:t>
      </w:r>
      <w:r>
        <w:rPr>
          <w:rFonts w:ascii="宋体" w:hAnsi="宋体" w:eastAsia="宋体" w:cs="Times New Roman"/>
          <w:spacing w:val="-6"/>
          <w:szCs w:val="21"/>
        </w:rPr>
        <w:t>。</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2.采购代理机构自中标人确定之日起</w:t>
      </w:r>
      <w:r>
        <w:rPr>
          <w:rFonts w:ascii="宋体" w:hAnsi="宋体" w:eastAsia="宋体" w:cs="Times New Roman"/>
          <w:spacing w:val="-6"/>
          <w:szCs w:val="21"/>
        </w:rPr>
        <w:t>2</w:t>
      </w:r>
      <w:r>
        <w:rPr>
          <w:rFonts w:hint="eastAsia" w:ascii="宋体" w:hAnsi="宋体" w:eastAsia="宋体" w:cs="Times New Roman"/>
          <w:spacing w:val="-6"/>
          <w:szCs w:val="21"/>
        </w:rPr>
        <w:t>个工作日内，公告中标结果，并发出中标通知书。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zCs w:val="21"/>
        </w:rPr>
        <w:t>评标结果公示媒体：浙江政府采购网（http://zfcg.czt.zj.gov.cn）。</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（二）合同</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ind w:firstLine="396" w:firstLineChars="200"/>
        <w:rPr>
          <w:rFonts w:ascii="宋体" w:hAnsi="宋体" w:eastAsia="宋体" w:cs="Times New Roman"/>
          <w:spacing w:val="-6"/>
          <w:szCs w:val="21"/>
        </w:rPr>
      </w:pPr>
    </w:p>
    <w:p>
      <w:pPr>
        <w:adjustRightInd w:val="0"/>
        <w:snapToGrid w:val="0"/>
        <w:spacing w:line="288" w:lineRule="auto"/>
        <w:jc w:val="center"/>
        <w:outlineLvl w:val="1"/>
        <w:rPr>
          <w:rFonts w:ascii="宋体" w:hAnsi="宋体" w:eastAsia="宋体" w:cs="Times New Roman"/>
          <w:b/>
          <w:spacing w:val="-6"/>
          <w:szCs w:val="21"/>
        </w:rPr>
      </w:pPr>
      <w:r>
        <w:rPr>
          <w:rFonts w:hint="eastAsia" w:ascii="宋体" w:hAnsi="宋体" w:eastAsia="宋体" w:cs="Times New Roman"/>
          <w:b/>
          <w:spacing w:val="-6"/>
          <w:szCs w:val="21"/>
        </w:rPr>
        <w:t>八、</w:t>
      </w:r>
      <w:r>
        <w:rPr>
          <w:rFonts w:ascii="宋体" w:hAnsi="宋体" w:eastAsia="宋体" w:cs="Times New Roman"/>
          <w:b/>
          <w:spacing w:val="-6"/>
          <w:szCs w:val="21"/>
        </w:rPr>
        <w:t>验</w:t>
      </w:r>
      <w:r>
        <w:rPr>
          <w:rFonts w:hint="eastAsia" w:ascii="宋体" w:hAnsi="宋体" w:eastAsia="宋体" w:cs="Times New Roman"/>
          <w:b/>
          <w:spacing w:val="-6"/>
          <w:szCs w:val="21"/>
        </w:rPr>
        <w:t xml:space="preserve"> </w:t>
      </w:r>
      <w:r>
        <w:rPr>
          <w:rFonts w:ascii="宋体" w:hAnsi="宋体" w:eastAsia="宋体" w:cs="Times New Roman"/>
          <w:b/>
          <w:spacing w:val="-6"/>
          <w:szCs w:val="21"/>
        </w:rPr>
        <w:t xml:space="preserve"> 收</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采购人可以邀请参加本项目的其他投标人或者第三方机构参与验收。参与验收的投标人或者第三方机构的意见作为</w:t>
      </w:r>
      <w:r>
        <w:rPr>
          <w:rFonts w:hint="eastAsia" w:ascii="宋体" w:hAnsi="宋体" w:eastAsia="宋体" w:cs="Helvetica"/>
          <w:kern w:val="0"/>
          <w:szCs w:val="21"/>
        </w:rPr>
        <w:t>验收书的参考资料一并存档。</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adjustRightInd w:val="0"/>
        <w:snapToGrid w:val="0"/>
        <w:spacing w:line="288" w:lineRule="auto"/>
        <w:ind w:firstLine="400" w:firstLineChars="201"/>
        <w:rPr>
          <w:rFonts w:ascii="宋体" w:hAnsi="宋体" w:eastAsia="宋体" w:cs="Times New Roman"/>
          <w:b/>
          <w:spacing w:val="-6"/>
          <w:szCs w:val="21"/>
        </w:rPr>
      </w:pPr>
    </w:p>
    <w:p>
      <w:pPr>
        <w:adjustRightInd w:val="0"/>
        <w:snapToGrid w:val="0"/>
        <w:spacing w:line="288" w:lineRule="auto"/>
        <w:ind w:firstLine="398" w:firstLineChars="200"/>
        <w:jc w:val="center"/>
        <w:outlineLvl w:val="1"/>
        <w:rPr>
          <w:rFonts w:ascii="宋体" w:hAnsi="宋体" w:eastAsia="宋体" w:cs="Times New Roman"/>
          <w:szCs w:val="21"/>
        </w:rPr>
      </w:pPr>
      <w:r>
        <w:rPr>
          <w:rFonts w:hint="eastAsia" w:ascii="宋体" w:hAnsi="宋体" w:eastAsia="宋体" w:cs="Times New Roman"/>
          <w:b/>
          <w:spacing w:val="-6"/>
          <w:szCs w:val="21"/>
        </w:rPr>
        <w:t>九、可中止电子交易活动的情形</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1.电子交易平台发生故障而无法登录访问的；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2.电子交易平台应用或数据库出现错误，不能进行正常操作的；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3.电子交易平台发现严重安全漏洞，有潜在泄密危险的；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4.病毒发作导致不能进行正常操作的；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5.其他无法保证电子交易的公平、公正和安全的情况。</w:t>
      </w:r>
    </w:p>
    <w:p>
      <w:pPr>
        <w:adjustRightInd w:val="0"/>
        <w:snapToGrid w:val="0"/>
        <w:spacing w:line="288" w:lineRule="auto"/>
        <w:ind w:firstLine="396" w:firstLineChars="200"/>
        <w:rPr>
          <w:rFonts w:ascii="宋体" w:hAnsi="宋体" w:eastAsia="宋体"/>
          <w:szCs w:val="21"/>
        </w:rPr>
      </w:pPr>
      <w:r>
        <w:rPr>
          <w:rFonts w:hint="eastAsia" w:ascii="宋体" w:hAnsi="宋体" w:eastAsia="宋体" w:cs="Times New Roman"/>
          <w:spacing w:val="-6"/>
          <w:szCs w:val="21"/>
        </w:rPr>
        <w:t>出现前款规定情形，不影响采购公平、公正性的，采购代理机构可以待上述情形消除后继续组织电子交易活动；影响或可能影响采购公平、公正性的，应当重新采购。</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br w:type="page"/>
      </w:r>
    </w:p>
    <w:p>
      <w:pPr>
        <w:adjustRightInd w:val="0"/>
        <w:snapToGrid w:val="0"/>
        <w:spacing w:line="288" w:lineRule="auto"/>
        <w:jc w:val="center"/>
        <w:outlineLvl w:val="0"/>
        <w:rPr>
          <w:rFonts w:ascii="宋体" w:hAnsi="宋体" w:eastAsia="宋体" w:cs="Times New Roman"/>
          <w:b/>
          <w:spacing w:val="-6"/>
          <w:sz w:val="32"/>
          <w:szCs w:val="32"/>
        </w:rPr>
      </w:pPr>
      <w:r>
        <w:rPr>
          <w:rFonts w:hint="eastAsia" w:ascii="宋体" w:hAnsi="宋体" w:eastAsia="宋体" w:cs="Times New Roman"/>
          <w:b/>
          <w:sz w:val="32"/>
          <w:szCs w:val="32"/>
        </w:rPr>
        <w:t>第四章  评标方法和评标标准</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一、评标方法</w:t>
      </w:r>
    </w:p>
    <w:p>
      <w:pPr>
        <w:adjustRightInd w:val="0"/>
        <w:snapToGrid w:val="0"/>
        <w:spacing w:line="288" w:lineRule="auto"/>
        <w:ind w:firstLine="396" w:firstLineChars="200"/>
        <w:rPr>
          <w:rFonts w:ascii="宋体" w:hAnsi="宋体" w:eastAsia="宋体" w:cs="Times New Roman"/>
          <w:bCs/>
          <w:spacing w:val="-6"/>
          <w:szCs w:val="21"/>
        </w:rPr>
      </w:pPr>
      <w:r>
        <w:rPr>
          <w:rFonts w:hint="eastAsia" w:ascii="宋体" w:hAnsi="宋体" w:eastAsia="宋体" w:cs="Times New Roman"/>
          <w:bCs/>
          <w:spacing w:val="-6"/>
          <w:szCs w:val="21"/>
        </w:rPr>
        <w:t>本次评标采用综合评分法，总分为100分。评分过程中采用四舍五入法，并保留小数2位。</w:t>
      </w:r>
    </w:p>
    <w:p>
      <w:pPr>
        <w:adjustRightInd w:val="0"/>
        <w:snapToGrid w:val="0"/>
        <w:spacing w:line="288" w:lineRule="auto"/>
        <w:ind w:firstLine="396" w:firstLineChars="200"/>
        <w:rPr>
          <w:rFonts w:ascii="宋体" w:hAnsi="宋体" w:eastAsia="宋体" w:cs="Times New Roman"/>
          <w:bCs/>
          <w:spacing w:val="-6"/>
          <w:szCs w:val="21"/>
        </w:rPr>
      </w:pPr>
      <w:r>
        <w:rPr>
          <w:rFonts w:hint="eastAsia" w:ascii="宋体" w:hAnsi="宋体" w:eastAsia="宋体" w:cs="Times New Roman"/>
          <w:spacing w:val="-6"/>
          <w:szCs w:val="21"/>
        </w:rPr>
        <w:t>投标人评标</w:t>
      </w:r>
      <w:r>
        <w:rPr>
          <w:rFonts w:hint="eastAsia" w:ascii="宋体" w:hAnsi="宋体" w:eastAsia="宋体" w:cs="Times New Roman"/>
          <w:bCs/>
          <w:spacing w:val="-6"/>
          <w:szCs w:val="21"/>
        </w:rPr>
        <w:t>综合得分=商务分+技术分+价格分</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bCs/>
          <w:spacing w:val="-6"/>
          <w:szCs w:val="21"/>
        </w:rPr>
        <w:t>商务和技术分按照评标委员会成员的独立评分结果的算术平均分计算，计算公式为：商务分</w:t>
      </w:r>
      <w:r>
        <w:rPr>
          <w:rFonts w:ascii="宋体" w:hAnsi="宋体" w:eastAsia="宋体" w:cs="Times New Roman"/>
          <w:bCs/>
          <w:spacing w:val="-6"/>
          <w:szCs w:val="21"/>
        </w:rPr>
        <w:t>、</w:t>
      </w:r>
      <w:r>
        <w:rPr>
          <w:rFonts w:hint="eastAsia" w:ascii="宋体" w:hAnsi="宋体" w:eastAsia="宋体" w:cs="Times New Roman"/>
          <w:bCs/>
          <w:spacing w:val="-6"/>
          <w:szCs w:val="21"/>
        </w:rPr>
        <w:t>技术分=评标委员会所有成员评分合计数</w:t>
      </w:r>
      <w:r>
        <w:rPr>
          <w:rFonts w:ascii="宋体" w:hAnsi="宋体" w:eastAsia="宋体" w:cs="Times New Roman"/>
          <w:bCs/>
          <w:spacing w:val="-6"/>
          <w:szCs w:val="21"/>
        </w:rPr>
        <w:t>/</w:t>
      </w:r>
      <w:r>
        <w:rPr>
          <w:rFonts w:hint="eastAsia" w:ascii="宋体" w:hAnsi="宋体" w:eastAsia="宋体" w:cs="Times New Roman"/>
          <w:bCs/>
          <w:spacing w:val="-6"/>
          <w:szCs w:val="21"/>
        </w:rPr>
        <w:t>评标委员会组成人员数</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二、评标标准</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分值</w:t>
            </w:r>
          </w:p>
        </w:tc>
        <w:tc>
          <w:tcPr>
            <w:tcW w:w="7072" w:type="dxa"/>
            <w:vAlign w:val="center"/>
          </w:tcPr>
          <w:p>
            <w:pPr>
              <w:adjustRightInd w:val="0"/>
              <w:snapToGrid w:val="0"/>
              <w:spacing w:line="288" w:lineRule="auto"/>
              <w:jc w:val="center"/>
              <w:rPr>
                <w:rFonts w:ascii="宋体" w:hAnsi="宋体" w:eastAsia="宋体" w:cs="Times New Roman"/>
                <w:b/>
                <w:bCs/>
                <w:szCs w:val="21"/>
              </w:rPr>
            </w:pPr>
            <w:r>
              <w:rPr>
                <w:rFonts w:ascii="宋体" w:hAnsi="宋体" w:eastAsia="宋体" w:cs="Times New Roma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pacing w:val="-6"/>
                <w:szCs w:val="21"/>
              </w:rPr>
              <w:t>质保期</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pacing w:val="-6"/>
                <w:szCs w:val="21"/>
              </w:rPr>
              <w:t>3</w:t>
            </w:r>
          </w:p>
        </w:tc>
        <w:tc>
          <w:tcPr>
            <w:tcW w:w="7072"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质保期在满足招标文件要求的基础</w:t>
            </w:r>
            <w:r>
              <w:rPr>
                <w:rFonts w:hint="eastAsia" w:ascii="宋体" w:hAnsi="宋体" w:eastAsia="宋体" w:cs="宋体"/>
                <w:szCs w:val="21"/>
                <w:highlight w:val="none"/>
              </w:rPr>
              <w:t>【质保3年</w:t>
            </w:r>
            <w:r>
              <w:rPr>
                <w:rFonts w:hint="eastAsia" w:ascii="宋体" w:hAnsi="宋体" w:eastAsia="宋体" w:cs="宋体"/>
                <w:szCs w:val="21"/>
              </w:rPr>
              <w:t>】上每延长一年（所有设备、软件均延长）得1分，最多得3分，延长时间不足一年的不计入得分。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业绩</w:t>
            </w:r>
          </w:p>
        </w:tc>
        <w:tc>
          <w:tcPr>
            <w:tcW w:w="654" w:type="dxa"/>
            <w:vAlign w:val="center"/>
          </w:tcPr>
          <w:p>
            <w:pPr>
              <w:adjustRightInd w:val="0"/>
              <w:snapToGrid w:val="0"/>
              <w:spacing w:line="288" w:lineRule="auto"/>
              <w:jc w:val="center"/>
              <w:rPr>
                <w:rFonts w:ascii="宋体" w:hAnsi="宋体" w:eastAsia="宋体" w:cs="宋体"/>
                <w:b/>
                <w:bCs/>
                <w:szCs w:val="21"/>
              </w:rPr>
            </w:pPr>
            <w:r>
              <w:rPr>
                <w:rFonts w:ascii="宋体" w:hAnsi="宋体" w:eastAsia="宋体" w:cs="宋体"/>
                <w:b/>
                <w:bCs/>
                <w:szCs w:val="21"/>
              </w:rPr>
              <w:t>2</w:t>
            </w:r>
          </w:p>
        </w:tc>
        <w:tc>
          <w:tcPr>
            <w:tcW w:w="7072"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w:t>
            </w:r>
            <w:r>
              <w:rPr>
                <w:rFonts w:ascii="宋体" w:hAnsi="宋体" w:eastAsia="宋体" w:cs="宋体"/>
                <w:szCs w:val="21"/>
              </w:rPr>
              <w:t>2020</w:t>
            </w:r>
            <w:r>
              <w:rPr>
                <w:rFonts w:hint="eastAsia" w:ascii="宋体" w:hAnsi="宋体" w:eastAsia="宋体" w:cs="宋体"/>
                <w:szCs w:val="21"/>
              </w:rPr>
              <w:t>年1月1日以来（以合同签订时间为准）同类合同业绩（以提供的合同扫描件为准）：每提供1份合同业绩得</w:t>
            </w:r>
            <w:r>
              <w:rPr>
                <w:rFonts w:ascii="宋体" w:hAnsi="宋体" w:eastAsia="宋体" w:cs="宋体"/>
                <w:szCs w:val="21"/>
              </w:rPr>
              <w:t>1</w:t>
            </w:r>
            <w:r>
              <w:rPr>
                <w:rFonts w:hint="eastAsia" w:ascii="宋体" w:hAnsi="宋体" w:eastAsia="宋体" w:cs="宋体"/>
                <w:szCs w:val="21"/>
              </w:rPr>
              <w:t>分，最高得</w:t>
            </w:r>
            <w:r>
              <w:rPr>
                <w:rFonts w:ascii="宋体" w:hAnsi="宋体" w:eastAsia="宋体" w:cs="宋体"/>
                <w:szCs w:val="21"/>
              </w:rPr>
              <w:t>2</w:t>
            </w:r>
            <w:r>
              <w:rPr>
                <w:rFonts w:hint="eastAsia" w:ascii="宋体" w:hAnsi="宋体" w:eastAsia="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合同响应</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072"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供应商对拟签订合同文本中质保、售后、验收、违约责任等条款的响应，提供完全响应证明的得</w:t>
            </w:r>
            <w:r>
              <w:rPr>
                <w:rFonts w:ascii="宋体" w:hAnsi="宋体" w:eastAsia="宋体" w:cs="宋体"/>
                <w:szCs w:val="21"/>
              </w:rPr>
              <w:t>2分，不提供或不完全响应的不得分</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pPr>
              <w:adjustRightInd w:val="0"/>
              <w:snapToGrid w:val="0"/>
              <w:spacing w:line="288" w:lineRule="auto"/>
              <w:jc w:val="left"/>
              <w:rPr>
                <w:rFonts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20</w:t>
            </w:r>
          </w:p>
        </w:tc>
        <w:tc>
          <w:tcPr>
            <w:tcW w:w="7072"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不符合（负偏离）技术要求中标注“▲”条款（不可偏离）的投标无效；</w:t>
            </w:r>
          </w:p>
          <w:p>
            <w:pPr>
              <w:adjustRightInd w:val="0"/>
              <w:snapToGrid w:val="0"/>
              <w:spacing w:line="288" w:lineRule="auto"/>
              <w:rPr>
                <w:rFonts w:ascii="宋体" w:hAnsi="宋体" w:eastAsia="宋体" w:cs="宋体"/>
                <w:szCs w:val="21"/>
              </w:rPr>
            </w:pPr>
            <w:r>
              <w:rPr>
                <w:rFonts w:hint="eastAsia" w:ascii="宋体" w:hAnsi="宋体" w:eastAsia="宋体" w:cs="宋体"/>
                <w:szCs w:val="21"/>
              </w:rPr>
              <w:t>满足招标文件明确的全部技术条款要求的</w:t>
            </w:r>
            <w:r>
              <w:rPr>
                <w:rFonts w:hint="eastAsia" w:ascii="宋体" w:hAnsi="宋体" w:eastAsia="宋体" w:cs="Times New Roman"/>
                <w:szCs w:val="21"/>
              </w:rPr>
              <w:t>该项得满分</w:t>
            </w:r>
            <w:r>
              <w:rPr>
                <w:rFonts w:hint="eastAsia" w:ascii="宋体" w:hAnsi="宋体" w:eastAsia="宋体" w:cs="宋体"/>
                <w:szCs w:val="21"/>
              </w:rPr>
              <w:t>；</w:t>
            </w:r>
          </w:p>
          <w:p>
            <w:pPr>
              <w:adjustRightInd w:val="0"/>
              <w:snapToGrid w:val="0"/>
              <w:spacing w:line="288" w:lineRule="auto"/>
              <w:rPr>
                <w:rFonts w:ascii="宋体" w:hAnsi="宋体" w:eastAsia="宋体" w:cs="宋体"/>
                <w:szCs w:val="21"/>
              </w:rPr>
            </w:pPr>
            <w:r>
              <w:rPr>
                <w:rFonts w:hint="eastAsia" w:ascii="宋体" w:hAnsi="宋体" w:eastAsia="宋体" w:cs="宋体"/>
                <w:szCs w:val="21"/>
              </w:rPr>
              <w:t>技术条款低于技术要求（负偏离）的每项扣</w:t>
            </w:r>
            <w:r>
              <w:rPr>
                <w:rFonts w:ascii="宋体" w:hAnsi="宋体" w:eastAsia="宋体" w:cs="宋体"/>
                <w:szCs w:val="21"/>
              </w:rPr>
              <w:t>3</w:t>
            </w:r>
            <w:r>
              <w:rPr>
                <w:rFonts w:hint="eastAsia" w:ascii="宋体" w:hAnsi="宋体" w:eastAsia="宋体" w:cs="宋体"/>
                <w:szCs w:val="21"/>
              </w:rPr>
              <w:t>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负偏离6</w:t>
            </w:r>
            <w:r>
              <w:rPr>
                <w:rFonts w:ascii="宋体" w:hAnsi="宋体" w:eastAsia="宋体" w:cs="宋体"/>
                <w:szCs w:val="21"/>
              </w:rPr>
              <w:t>项及以上的，视为采购人不能接受的附加条件</w:t>
            </w:r>
            <w:r>
              <w:rPr>
                <w:rFonts w:hint="eastAsia" w:ascii="宋体" w:hAnsi="宋体" w:eastAsia="宋体" w:cs="宋体"/>
                <w:szCs w:val="21"/>
              </w:rPr>
              <w:t>，投标无效</w:t>
            </w:r>
            <w:r>
              <w:rPr>
                <w:rFonts w:ascii="宋体" w:hAnsi="宋体" w:eastAsia="宋体" w:cs="宋体"/>
                <w:szCs w:val="21"/>
              </w:rPr>
              <w:t>。</w:t>
            </w:r>
          </w:p>
          <w:p>
            <w:pPr>
              <w:adjustRightInd w:val="0"/>
              <w:snapToGrid w:val="0"/>
              <w:spacing w:line="288" w:lineRule="auto"/>
              <w:rPr>
                <w:rFonts w:ascii="宋体" w:hAnsi="宋体" w:eastAsia="宋体" w:cs="宋体"/>
                <w:b/>
                <w:bCs/>
                <w:szCs w:val="21"/>
              </w:rPr>
            </w:pPr>
            <w:r>
              <w:rPr>
                <w:rFonts w:hint="eastAsia" w:ascii="宋体" w:hAnsi="宋体" w:eastAsia="宋体" w:cs="宋体"/>
                <w:b/>
                <w:bCs/>
                <w:szCs w:val="21"/>
              </w:rPr>
              <w:t>说明：采购需求中要求提供相关证明材料的，投标人应按要求提供，未提供相应证明材料或材料不符合要求的，应被视为负偏离。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288" w:lineRule="auto"/>
              <w:jc w:val="center"/>
              <w:rPr>
                <w:rFonts w:ascii="宋体" w:hAnsi="宋体" w:eastAsia="宋体" w:cs="宋体"/>
                <w:b/>
                <w:bCs/>
                <w:kern w:val="0"/>
                <w:szCs w:val="21"/>
              </w:rPr>
            </w:pPr>
            <w:r>
              <w:rPr>
                <w:rFonts w:hint="eastAsia" w:ascii="宋体" w:hAnsi="宋体" w:eastAsia="宋体" w:cs="宋体"/>
                <w:b/>
                <w:bCs/>
                <w:szCs w:val="21"/>
              </w:rPr>
              <w:t>技术方案</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根据投标产品</w:t>
            </w:r>
            <w:r>
              <w:rPr>
                <w:rFonts w:hint="eastAsia" w:ascii="宋体" w:hAnsi="宋体" w:eastAsia="宋体" w:cs="宋体"/>
                <w:b/>
                <w:bCs/>
                <w:szCs w:val="21"/>
              </w:rPr>
              <w:t>VPN</w:t>
            </w:r>
            <w:r>
              <w:rPr>
                <w:rFonts w:hint="eastAsia" w:ascii="宋体" w:hAnsi="宋体" w:eastAsia="宋体" w:cs="宋体"/>
                <w:szCs w:val="21"/>
              </w:rPr>
              <w:t>制造商公开发布的印刷资料（官网材料、彩页、Datasheet）或由有关政府部门或检测机构合法出具的文件或报告、配置清单、软件功能截图、应用案例等【采购需求已要求提供的材料除外】对产品结构、功能、技术路线、配置综合评定。</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专业、成熟、针对采购需求及实际特点、配套程度高得3分，有一定的市场应用但采购需求及实际特点针对性不足得2分，基本满足采购需求、实际特点但有不足或阐述不清晰得1分，未提供相关内容得0分。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根据投标产品</w:t>
            </w:r>
            <w:r>
              <w:rPr>
                <w:rFonts w:hint="eastAsia" w:ascii="宋体" w:hAnsi="宋体" w:eastAsia="宋体" w:cs="宋体"/>
                <w:b/>
                <w:bCs/>
                <w:szCs w:val="21"/>
              </w:rPr>
              <w:t>身份认证系统</w:t>
            </w:r>
            <w:r>
              <w:rPr>
                <w:rFonts w:hint="eastAsia" w:ascii="宋体" w:hAnsi="宋体" w:eastAsia="宋体" w:cs="宋体"/>
                <w:szCs w:val="21"/>
              </w:rPr>
              <w:t>制造商公开发布的印刷资料（官网材料、彩页、Datasheet）或由有关政府部门或检测机构合法出具的文件或报告、配置清单、软件功能截图、应用案例等【采购需求已要求提供的材料除外】对产品结构、功能、技术路线、配置综合评定。</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专业、成熟、针对采购需求及实际特点、配套程度高得3分，有一定的市场应用但采购需求及实际特点针对性不足得2分，基本满足采购需求、实际特点但有不足或阐述不清晰得1分，未提供相关内容得0分。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根据投标产品</w:t>
            </w:r>
            <w:r>
              <w:rPr>
                <w:rFonts w:hint="eastAsia" w:ascii="宋体" w:hAnsi="宋体" w:eastAsia="宋体" w:cs="宋体"/>
                <w:b/>
                <w:bCs/>
                <w:szCs w:val="21"/>
              </w:rPr>
              <w:t>交换机（</w:t>
            </w:r>
            <w:r>
              <w:rPr>
                <w:rFonts w:ascii="宋体" w:hAnsi="宋体" w:eastAsia="宋体" w:cs="宋体"/>
                <w:b/>
                <w:bCs/>
                <w:szCs w:val="21"/>
              </w:rPr>
              <w:t>48口1000M/10G上行）、交换机（24口10G光纤三层）</w:t>
            </w:r>
            <w:r>
              <w:rPr>
                <w:rFonts w:hint="eastAsia" w:ascii="宋体" w:hAnsi="宋体" w:eastAsia="宋体" w:cs="宋体"/>
                <w:szCs w:val="21"/>
              </w:rPr>
              <w:t>制造商公开发布的印刷资料（官网材料、彩页、Datasheet）或由有关政府部门或检测机构合法出具的文件或报告、配置清单、软件功能截图、应用案例等【采购需求已要求提供的材料除外】对产品结构、功能、技术路线、配置综合评定。</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专业、成熟、针对采购需求及实际特点、配套程度高得3分，有一定的市场应用但采购需求及实际特点针对性不足得2分，基本满足采购需求、实际特点但有不足或阐述不清晰得1分，未提供相关内容得0分。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项目实施</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实施（进度控制计划、技术文档移交）方案：</w:t>
            </w:r>
          </w:p>
          <w:p>
            <w:pPr>
              <w:adjustRightInd w:val="0"/>
              <w:snapToGrid w:val="0"/>
              <w:spacing w:line="288" w:lineRule="auto"/>
              <w:rPr>
                <w:rFonts w:ascii="宋体" w:hAnsi="宋体" w:eastAsia="宋体" w:cs="宋体"/>
                <w:szCs w:val="21"/>
              </w:rPr>
            </w:pPr>
            <w:r>
              <w:rPr>
                <w:rFonts w:hint="eastAsia" w:ascii="宋体" w:hAnsi="宋体" w:eastAsia="宋体" w:cs="宋体"/>
                <w:szCs w:val="21"/>
              </w:rPr>
              <w:t>全面、针对采购需求及实际特点、有利于采购标的实现及合同履约得</w:t>
            </w:r>
            <w:r>
              <w:rPr>
                <w:rFonts w:ascii="宋体" w:hAnsi="宋体" w:eastAsia="宋体" w:cs="宋体"/>
                <w:szCs w:val="21"/>
              </w:rPr>
              <w:t>4</w:t>
            </w:r>
            <w:r>
              <w:rPr>
                <w:rFonts w:hint="eastAsia" w:ascii="宋体" w:hAnsi="宋体" w:eastAsia="宋体" w:cs="宋体"/>
                <w:szCs w:val="21"/>
              </w:rPr>
              <w:t>分，全面性、针对性略有不足或略有不到位的得</w:t>
            </w:r>
            <w:r>
              <w:rPr>
                <w:rFonts w:ascii="宋体" w:hAnsi="宋体" w:eastAsia="宋体" w:cs="宋体"/>
                <w:szCs w:val="21"/>
              </w:rPr>
              <w:t>3</w:t>
            </w:r>
            <w:r>
              <w:rPr>
                <w:rFonts w:hint="eastAsia" w:ascii="宋体" w:hAnsi="宋体" w:eastAsia="宋体" w:cs="宋体"/>
                <w:szCs w:val="21"/>
              </w:rPr>
              <w:t>分，全面性一般、采购需求及实际特点针对性不足、有利于采购标的实现及合同履约得2分，方案执行性差、阐述不清晰的得</w:t>
            </w:r>
            <w:r>
              <w:rPr>
                <w:rFonts w:ascii="宋体" w:hAnsi="宋体" w:eastAsia="宋体" w:cs="宋体"/>
                <w:szCs w:val="21"/>
              </w:rPr>
              <w:t>1</w:t>
            </w:r>
            <w:r>
              <w:rPr>
                <w:rFonts w:hint="eastAsia" w:ascii="宋体" w:hAnsi="宋体" w:eastAsia="宋体" w:cs="宋体"/>
                <w:szCs w:val="21"/>
              </w:rPr>
              <w:t>分，未提供相关内容得不得分。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日常运行及保养方案：</w:t>
            </w:r>
          </w:p>
          <w:p>
            <w:pPr>
              <w:adjustRightInd w:val="0"/>
              <w:snapToGrid w:val="0"/>
              <w:spacing w:line="288" w:lineRule="auto"/>
              <w:rPr>
                <w:rFonts w:ascii="宋体" w:hAnsi="宋体" w:eastAsia="宋体" w:cs="宋体"/>
                <w:szCs w:val="21"/>
              </w:rPr>
            </w:pPr>
            <w:r>
              <w:rPr>
                <w:rFonts w:hint="eastAsia" w:ascii="宋体" w:hAnsi="宋体" w:eastAsia="宋体" w:cs="宋体"/>
                <w:szCs w:val="21"/>
              </w:rPr>
              <w:t>全面、针对采购需求及实际特点、有利于采购标的实现及合同履约得</w:t>
            </w:r>
            <w:r>
              <w:rPr>
                <w:rFonts w:ascii="宋体" w:hAnsi="宋体" w:eastAsia="宋体" w:cs="宋体"/>
                <w:szCs w:val="21"/>
              </w:rPr>
              <w:t>4</w:t>
            </w:r>
            <w:r>
              <w:rPr>
                <w:rFonts w:hint="eastAsia" w:ascii="宋体" w:hAnsi="宋体" w:eastAsia="宋体" w:cs="宋体"/>
                <w:szCs w:val="21"/>
              </w:rPr>
              <w:t>分，全面性、针对性略有不足或略有不到位的得</w:t>
            </w:r>
            <w:r>
              <w:rPr>
                <w:rFonts w:ascii="宋体" w:hAnsi="宋体" w:eastAsia="宋体" w:cs="宋体"/>
                <w:szCs w:val="21"/>
              </w:rPr>
              <w:t>3</w:t>
            </w:r>
            <w:r>
              <w:rPr>
                <w:rFonts w:hint="eastAsia" w:ascii="宋体" w:hAnsi="宋体" w:eastAsia="宋体" w:cs="宋体"/>
                <w:szCs w:val="21"/>
              </w:rPr>
              <w:t>分，全面性一般、采购需求及实际特点针对性不足、有利于采购标的实现及合同履约得2分，方案执行性差、阐述不清晰的得</w:t>
            </w:r>
            <w:r>
              <w:rPr>
                <w:rFonts w:ascii="宋体" w:hAnsi="宋体" w:eastAsia="宋体" w:cs="宋体"/>
                <w:szCs w:val="21"/>
              </w:rPr>
              <w:t>1</w:t>
            </w:r>
            <w:r>
              <w:rPr>
                <w:rFonts w:hint="eastAsia" w:ascii="宋体" w:hAnsi="宋体" w:eastAsia="宋体" w:cs="宋体"/>
                <w:szCs w:val="21"/>
              </w:rPr>
              <w:t>分，未提供相关内容得不得分。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安装、调试方法或方案：</w:t>
            </w:r>
          </w:p>
          <w:p>
            <w:pPr>
              <w:adjustRightInd w:val="0"/>
              <w:snapToGrid w:val="0"/>
              <w:spacing w:line="288" w:lineRule="auto"/>
              <w:rPr>
                <w:rFonts w:ascii="宋体" w:hAnsi="宋体" w:eastAsia="宋体" w:cs="宋体"/>
                <w:szCs w:val="21"/>
              </w:rPr>
            </w:pPr>
            <w:r>
              <w:rPr>
                <w:rFonts w:hint="eastAsia" w:ascii="宋体" w:hAnsi="宋体" w:eastAsia="宋体" w:cs="宋体"/>
                <w:szCs w:val="21"/>
              </w:rPr>
              <w:t>全面、针对采购需求及实际特点、有利于采购标的实现及合同履约得</w:t>
            </w:r>
            <w:r>
              <w:rPr>
                <w:rFonts w:ascii="宋体" w:hAnsi="宋体" w:eastAsia="宋体" w:cs="宋体"/>
                <w:szCs w:val="21"/>
              </w:rPr>
              <w:t>4</w:t>
            </w:r>
            <w:r>
              <w:rPr>
                <w:rFonts w:hint="eastAsia" w:ascii="宋体" w:hAnsi="宋体" w:eastAsia="宋体" w:cs="宋体"/>
                <w:szCs w:val="21"/>
              </w:rPr>
              <w:t>分，全面性、针对性略有不足或略有不到位的得</w:t>
            </w:r>
            <w:r>
              <w:rPr>
                <w:rFonts w:ascii="宋体" w:hAnsi="宋体" w:eastAsia="宋体" w:cs="宋体"/>
                <w:szCs w:val="21"/>
              </w:rPr>
              <w:t>3</w:t>
            </w:r>
            <w:r>
              <w:rPr>
                <w:rFonts w:hint="eastAsia" w:ascii="宋体" w:hAnsi="宋体" w:eastAsia="宋体" w:cs="宋体"/>
                <w:szCs w:val="21"/>
              </w:rPr>
              <w:t>分，全面性一般、采购需求及实际特点针对性不足、有利于采购标的实现及合同履约得2分，方案执行性差、阐述不清晰的得</w:t>
            </w:r>
            <w:r>
              <w:rPr>
                <w:rFonts w:ascii="宋体" w:hAnsi="宋体" w:eastAsia="宋体" w:cs="宋体"/>
                <w:szCs w:val="21"/>
              </w:rPr>
              <w:t>1</w:t>
            </w:r>
            <w:r>
              <w:rPr>
                <w:rFonts w:hint="eastAsia" w:ascii="宋体" w:hAnsi="宋体" w:eastAsia="宋体" w:cs="宋体"/>
                <w:szCs w:val="21"/>
              </w:rPr>
              <w:t>分，未提供相关内容得不得分。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宋体"/>
                <w:b/>
                <w:bCs/>
                <w:szCs w:val="21"/>
              </w:rPr>
              <w:t>技术培训</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ascii="宋体" w:hAnsi="宋体" w:eastAsia="宋体" w:cs="宋体"/>
                <w:b/>
                <w:bCs/>
                <w:szCs w:val="21"/>
              </w:rPr>
              <w:t>3</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Times New Roman"/>
                <w:szCs w:val="21"/>
              </w:rPr>
            </w:pPr>
            <w:r>
              <w:rPr>
                <w:rFonts w:hint="eastAsia" w:ascii="宋体" w:hAnsi="宋体" w:eastAsia="宋体" w:cs="宋体"/>
                <w:szCs w:val="21"/>
              </w:rPr>
              <w:t>培训计划（包括培训流程、培训方式、培训对象、培训内容、培训日程等）：全面、针对采购需求及实际特点、有利于采购标的实现及合同履约得</w:t>
            </w:r>
            <w:r>
              <w:rPr>
                <w:rFonts w:ascii="宋体" w:hAnsi="宋体" w:eastAsia="宋体" w:cs="宋体"/>
                <w:szCs w:val="21"/>
              </w:rPr>
              <w:t>3</w:t>
            </w:r>
            <w:r>
              <w:rPr>
                <w:rFonts w:hint="eastAsia" w:ascii="宋体" w:hAnsi="宋体" w:eastAsia="宋体" w:cs="宋体"/>
                <w:szCs w:val="21"/>
              </w:rPr>
              <w:t>分，全面性一般、采购需求及实际特点针对性不足、有利于采购标的实现及合同履约得</w:t>
            </w:r>
            <w:r>
              <w:rPr>
                <w:rFonts w:ascii="宋体" w:hAnsi="宋体" w:eastAsia="宋体" w:cs="宋体"/>
                <w:szCs w:val="21"/>
              </w:rPr>
              <w:t>2</w:t>
            </w:r>
            <w:r>
              <w:rPr>
                <w:rFonts w:hint="eastAsia" w:ascii="宋体" w:hAnsi="宋体" w:eastAsia="宋体" w:cs="宋体"/>
                <w:szCs w:val="21"/>
              </w:rPr>
              <w:t>分，与采购标的实现及合同履约相关但有不足或落地执行性差或阐述不清晰的得1分，未提供相关内容得0分。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售后服务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售后服务方案（包括服务机构、服务内容、服务承诺、响应时间、服务方式、人员配备、应急服务等）：</w:t>
            </w:r>
          </w:p>
          <w:p>
            <w:pPr>
              <w:adjustRightInd w:val="0"/>
              <w:snapToGrid w:val="0"/>
              <w:spacing w:line="288" w:lineRule="auto"/>
              <w:rPr>
                <w:rFonts w:ascii="宋体" w:hAnsi="宋体" w:eastAsia="宋体" w:cs="宋体"/>
                <w:szCs w:val="21"/>
              </w:rPr>
            </w:pPr>
            <w:r>
              <w:rPr>
                <w:rFonts w:hint="eastAsia" w:ascii="宋体" w:hAnsi="宋体" w:eastAsia="宋体" w:cs="宋体"/>
                <w:szCs w:val="21"/>
              </w:rPr>
              <w:t>全面、针对采购需求及实际特点、有利于采购标的实现及合同履约得</w:t>
            </w:r>
            <w:r>
              <w:rPr>
                <w:rFonts w:ascii="宋体" w:hAnsi="宋体" w:eastAsia="宋体" w:cs="宋体"/>
                <w:szCs w:val="21"/>
              </w:rPr>
              <w:t>4</w:t>
            </w:r>
            <w:r>
              <w:rPr>
                <w:rFonts w:hint="eastAsia" w:ascii="宋体" w:hAnsi="宋体" w:eastAsia="宋体" w:cs="宋体"/>
                <w:szCs w:val="21"/>
              </w:rPr>
              <w:t>分，全面性、针对性略有不足或略有不到位的得</w:t>
            </w:r>
            <w:r>
              <w:rPr>
                <w:rFonts w:ascii="宋体" w:hAnsi="宋体" w:eastAsia="宋体" w:cs="宋体"/>
                <w:szCs w:val="21"/>
              </w:rPr>
              <w:t>3</w:t>
            </w:r>
            <w:r>
              <w:rPr>
                <w:rFonts w:hint="eastAsia" w:ascii="宋体" w:hAnsi="宋体" w:eastAsia="宋体" w:cs="宋体"/>
                <w:szCs w:val="21"/>
              </w:rPr>
              <w:t>分，全面性一般、采购需求及实际特点针对性不足、有利于采购标的实现及合同履约得2分，方案执行性差、阐述不清晰的得</w:t>
            </w:r>
            <w:r>
              <w:rPr>
                <w:rFonts w:ascii="宋体" w:hAnsi="宋体" w:eastAsia="宋体" w:cs="宋体"/>
                <w:szCs w:val="21"/>
              </w:rPr>
              <w:t>1</w:t>
            </w:r>
            <w:r>
              <w:rPr>
                <w:rFonts w:hint="eastAsia" w:ascii="宋体" w:hAnsi="宋体" w:eastAsia="宋体" w:cs="宋体"/>
                <w:szCs w:val="21"/>
              </w:rPr>
              <w:t>分，未提供相关内容得不得分。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ascii="宋体" w:hAnsi="宋体" w:eastAsia="宋体" w:cs="宋体"/>
                <w:b/>
                <w:bCs/>
                <w:szCs w:val="21"/>
              </w:rPr>
              <w:t>演示</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演示内容：</w:t>
            </w:r>
          </w:p>
          <w:p>
            <w:pPr>
              <w:spacing w:line="288" w:lineRule="auto"/>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支持终端环境诊断排查，提供终端诊断工具，支持对当前终端的基本环境进行扫描和一键修复，便于员工自行排查修复终端问题，减少IT运维人员工作。终端诊断检测内容应包括但不限于：Windows Temp目录可写状态、DNS驱动状态、零信任服务运行状态、零信任http服务检测状态、关键控件完整性检测、可疑病毒驱动检测等。</w:t>
            </w:r>
          </w:p>
          <w:p>
            <w:pPr>
              <w:spacing w:line="288" w:lineRule="auto"/>
              <w:rPr>
                <w:rFonts w:ascii="宋体" w:hAnsi="宋体" w:eastAsia="宋体"/>
                <w:b/>
                <w:bCs/>
                <w:color w:val="000000" w:themeColor="text1"/>
                <w:kern w:val="0"/>
                <w:szCs w:val="21"/>
                <w14:textFill>
                  <w14:solidFill>
                    <w14:schemeClr w14:val="tx1"/>
                  </w14:solidFill>
                </w14:textFill>
              </w:rPr>
            </w:pPr>
            <w:r>
              <w:rPr>
                <w:rFonts w:hint="eastAsia" w:ascii="宋体" w:hAnsi="宋体" w:eastAsia="宋体"/>
                <w:b/>
                <w:bCs/>
                <w:color w:val="000000" w:themeColor="text1"/>
                <w:kern w:val="0"/>
                <w:szCs w:val="21"/>
                <w14:textFill>
                  <w14:solidFill>
                    <w14:schemeClr w14:val="tx1"/>
                  </w14:solidFill>
                </w14:textFill>
              </w:rPr>
              <w:t>【演示成功的得5分，演示不成功或未提供对应演示内容的不得分】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演示内容：</w:t>
            </w:r>
          </w:p>
          <w:p>
            <w:pPr>
              <w:spacing w:line="288" w:lineRule="auto"/>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针对Windows系统用户，支持配置虚拟专线功能，当用户登录零信任客户端之后，自动断开互联网连接，避免互联网威胁影响内网业务系统，支持通过桌面悬浮球的方式，用户可一键切换内网或互联网</w:t>
            </w:r>
          </w:p>
          <w:p>
            <w:pPr>
              <w:spacing w:line="288" w:lineRule="auto"/>
              <w:rPr>
                <w:rFonts w:ascii="宋体" w:hAnsi="宋体" w:eastAsia="宋体"/>
                <w:b/>
                <w:bCs/>
                <w:color w:val="000000" w:themeColor="text1"/>
                <w:kern w:val="0"/>
                <w:szCs w:val="21"/>
                <w14:textFill>
                  <w14:solidFill>
                    <w14:schemeClr w14:val="tx1"/>
                  </w14:solidFill>
                </w14:textFill>
              </w:rPr>
            </w:pPr>
            <w:r>
              <w:rPr>
                <w:rFonts w:hint="eastAsia" w:ascii="宋体" w:hAnsi="宋体" w:eastAsia="宋体"/>
                <w:b/>
                <w:bCs/>
                <w:color w:val="000000" w:themeColor="text1"/>
                <w:kern w:val="0"/>
                <w:szCs w:val="21"/>
                <w14:textFill>
                  <w14:solidFill>
                    <w14:schemeClr w14:val="tx1"/>
                  </w14:solidFill>
                </w14:textFill>
              </w:rPr>
              <w:t>【演示成功的得5分，演示不成功或未提供对应演示内容的不得分】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olor w:val="000000" w:themeColor="text1"/>
                <w:kern w:val="0"/>
                <w:szCs w:val="21"/>
                <w:lang w:val="zh-TW"/>
                <w14:textFill>
                  <w14:solidFill>
                    <w14:schemeClr w14:val="tx1"/>
                  </w14:solidFill>
                </w14:textFill>
              </w:rPr>
            </w:pPr>
            <w:r>
              <w:rPr>
                <w:rFonts w:hint="eastAsia" w:ascii="宋体" w:hAnsi="宋体" w:eastAsia="宋体"/>
                <w:color w:val="000000" w:themeColor="text1"/>
                <w:kern w:val="0"/>
                <w:szCs w:val="21"/>
                <w:lang w:val="zh-TW"/>
                <w14:textFill>
                  <w14:solidFill>
                    <w14:schemeClr w14:val="tx1"/>
                  </w14:solidFill>
                </w14:textFill>
              </w:rPr>
              <w:t>演示内容：</w:t>
            </w:r>
          </w:p>
          <w:p>
            <w:pPr>
              <w:spacing w:line="288" w:lineRule="auto"/>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lang w:val="zh-TW"/>
                <w14:textFill>
                  <w14:solidFill>
                    <w14:schemeClr w14:val="tx1"/>
                  </w14:solidFill>
                </w14:textFill>
              </w:rPr>
              <w:t>支持提供开放的API，管理员可以在控制台创建API KEY，供第三方安全设备或单位自有安全分析平台对接，便于形成统一的安全体系，</w:t>
            </w:r>
            <w:r>
              <w:rPr>
                <w:rFonts w:hint="eastAsia" w:ascii="宋体" w:hAnsi="宋体" w:eastAsia="宋体"/>
                <w:color w:val="000000" w:themeColor="text1"/>
                <w:kern w:val="0"/>
                <w:szCs w:val="21"/>
                <w14:textFill>
                  <w14:solidFill>
                    <w14:schemeClr w14:val="tx1"/>
                  </w14:solidFill>
                </w14:textFill>
              </w:rPr>
              <w:t>同时支持将用户访问控制器的加密流量解密后镜像给外部系统，如态势感知等。</w:t>
            </w:r>
          </w:p>
          <w:p>
            <w:pPr>
              <w:adjustRightInd w:val="0"/>
              <w:snapToGrid w:val="0"/>
              <w:spacing w:line="288" w:lineRule="auto"/>
              <w:rPr>
                <w:rFonts w:ascii="宋体" w:hAnsi="宋体" w:eastAsia="宋体" w:cs="宋体"/>
                <w:b/>
                <w:bCs/>
                <w:szCs w:val="21"/>
              </w:rPr>
            </w:pPr>
            <w:r>
              <w:rPr>
                <w:rFonts w:hint="eastAsia" w:ascii="宋体" w:hAnsi="宋体" w:eastAsia="宋体"/>
                <w:b/>
                <w:bCs/>
                <w:color w:val="000000" w:themeColor="text1"/>
                <w:kern w:val="0"/>
                <w:szCs w:val="21"/>
                <w14:textFill>
                  <w14:solidFill>
                    <w14:schemeClr w14:val="tx1"/>
                  </w14:solidFill>
                </w14:textFill>
              </w:rPr>
              <w:t>【演示成功的得5分，演示不成功或未提供对应演示内容的不得分】</w:t>
            </w:r>
          </w:p>
        </w:tc>
      </w:tr>
    </w:tbl>
    <w:p>
      <w:pPr>
        <w:adjustRightInd w:val="0"/>
        <w:snapToGrid w:val="0"/>
        <w:spacing w:line="288" w:lineRule="auto"/>
        <w:jc w:val="left"/>
        <w:rPr>
          <w:rFonts w:ascii="宋体" w:hAnsi="宋体" w:eastAsia="宋体" w:cs="Times New Roman"/>
          <w:b/>
          <w:szCs w:val="21"/>
        </w:rPr>
      </w:pPr>
    </w:p>
    <w:p>
      <w:pPr>
        <w:adjustRightInd w:val="0"/>
        <w:snapToGrid w:val="0"/>
        <w:spacing w:line="288" w:lineRule="auto"/>
        <w:jc w:val="left"/>
        <w:rPr>
          <w:rFonts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p>
    <w:p>
      <w:pPr>
        <w:adjustRightInd w:val="0"/>
        <w:snapToGrid w:val="0"/>
        <w:spacing w:line="288" w:lineRule="auto"/>
        <w:jc w:val="left"/>
        <w:rPr>
          <w:rFonts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根据《政府采购促进中小企业发展管理办法》（财库〔2020〕46号）、《关于进一步加大政府采购支持中小企业力度的通知》（财库〔</w:t>
      </w:r>
      <w:r>
        <w:rPr>
          <w:rFonts w:ascii="宋体" w:hAnsi="宋体" w:eastAsia="宋体" w:cs="Times New Roman"/>
          <w:b/>
          <w:szCs w:val="21"/>
        </w:rPr>
        <w:t>2022〕19号）</w:t>
      </w:r>
      <w:r>
        <w:rPr>
          <w:rFonts w:hint="eastAsia" w:ascii="宋体" w:hAnsi="宋体" w:eastAsia="宋体" w:cs="Times New Roman"/>
          <w:b/>
          <w:szCs w:val="21"/>
        </w:rPr>
        <w:t>、《浙江省财政厅关于进一步加大政府采购支持中小企业力度</w:t>
      </w:r>
      <w:r>
        <w:rPr>
          <w:rFonts w:ascii="宋体" w:hAnsi="宋体" w:eastAsia="宋体" w:cs="Times New Roman"/>
          <w:b/>
          <w:szCs w:val="21"/>
        </w:rPr>
        <w:t xml:space="preserve"> 助力扎实稳住经济的通知》（浙财采监〔2022〕8号）</w:t>
      </w:r>
      <w:r>
        <w:rPr>
          <w:rFonts w:hint="eastAsia" w:ascii="宋体" w:hAnsi="宋体" w:eastAsia="宋体" w:cs="Times New Roman"/>
          <w:b/>
          <w:szCs w:val="21"/>
        </w:rPr>
        <w:t>的规定：</w:t>
      </w:r>
    </w:p>
    <w:p>
      <w:pPr>
        <w:adjustRightInd w:val="0"/>
        <w:snapToGrid w:val="0"/>
        <w:spacing w:line="288" w:lineRule="auto"/>
        <w:jc w:val="left"/>
        <w:rPr>
          <w:rFonts w:ascii="宋体" w:hAnsi="宋体" w:eastAsia="宋体" w:cs="Times New Roman"/>
          <w:b/>
          <w:szCs w:val="21"/>
        </w:rPr>
      </w:pPr>
      <w:r>
        <w:rPr>
          <w:rFonts w:hint="eastAsia" w:ascii="宋体" w:hAnsi="宋体" w:eastAsia="宋体" w:cs="Times New Roman"/>
          <w:b/>
          <w:szCs w:val="21"/>
        </w:rPr>
        <w:t>对符合规定的小微企业报价给予1</w:t>
      </w:r>
      <w:r>
        <w:rPr>
          <w:rFonts w:ascii="宋体" w:hAnsi="宋体" w:eastAsia="宋体" w:cs="Times New Roman"/>
          <w:b/>
          <w:szCs w:val="21"/>
        </w:rPr>
        <w:t>0</w:t>
      </w:r>
      <w:r>
        <w:rPr>
          <w:rFonts w:hint="eastAsia" w:ascii="宋体" w:hAnsi="宋体" w:eastAsia="宋体" w:cs="Times New Roman"/>
          <w:b/>
          <w:szCs w:val="21"/>
        </w:rPr>
        <w:t>%的扣除后计算价格得分。</w:t>
      </w:r>
    </w:p>
    <w:p>
      <w:pPr>
        <w:adjustRightInd w:val="0"/>
        <w:snapToGrid w:val="0"/>
        <w:spacing w:line="288" w:lineRule="auto"/>
        <w:ind w:firstLine="396" w:firstLineChars="200"/>
        <w:jc w:val="left"/>
        <w:rPr>
          <w:rFonts w:ascii="宋体" w:hAnsi="宋体" w:eastAsia="宋体" w:cs="Times New Roman"/>
          <w:spacing w:val="-6"/>
          <w:szCs w:val="21"/>
          <w:u w:val="single"/>
        </w:rPr>
      </w:pPr>
      <w:r>
        <w:rPr>
          <w:rFonts w:hint="eastAsia" w:ascii="宋体" w:hAnsi="宋体" w:eastAsia="宋体" w:cs="Times New Roman"/>
          <w:spacing w:val="-6"/>
          <w:szCs w:val="21"/>
          <w:u w:val="single"/>
        </w:rPr>
        <w:t>注：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adjustRightInd w:val="0"/>
        <w:snapToGrid w:val="0"/>
        <w:spacing w:line="288" w:lineRule="auto"/>
        <w:rPr>
          <w:rFonts w:ascii="宋体" w:hAnsi="宋体" w:eastAsia="宋体" w:cs="Times New Roman"/>
          <w:b/>
          <w:bCs/>
          <w:spacing w:val="-6"/>
          <w:szCs w:val="21"/>
        </w:rPr>
      </w:pPr>
      <w:bookmarkStart w:id="54" w:name="_Hlk81817373"/>
      <w:bookmarkStart w:id="55" w:name="_Hlk81817387"/>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根据《</w:t>
      </w:r>
      <w:r>
        <w:rPr>
          <w:rFonts w:ascii="宋体" w:hAnsi="宋体" w:eastAsia="宋体" w:cs="Times New Roman"/>
          <w:b/>
          <w:bCs/>
          <w:spacing w:val="-6"/>
          <w:szCs w:val="21"/>
        </w:rPr>
        <w:t>关于政府采购支持监狱企业发展有关问题的通知</w:t>
      </w:r>
      <w:r>
        <w:rPr>
          <w:rFonts w:hint="eastAsia" w:ascii="宋体" w:hAnsi="宋体" w:eastAsia="宋体" w:cs="Times New Roman"/>
          <w:b/>
          <w:bCs/>
          <w:spacing w:val="-6"/>
          <w:szCs w:val="21"/>
        </w:rPr>
        <w:t>》（</w:t>
      </w:r>
      <w:r>
        <w:rPr>
          <w:rFonts w:ascii="宋体" w:hAnsi="宋体" w:eastAsia="宋体" w:cs="Times New Roman"/>
          <w:b/>
          <w:bCs/>
          <w:spacing w:val="-6"/>
          <w:szCs w:val="21"/>
        </w:rPr>
        <w:t>财库[2014]68号</w:t>
      </w:r>
      <w:r>
        <w:rPr>
          <w:rFonts w:hint="eastAsia" w:ascii="宋体" w:hAnsi="宋体" w:eastAsia="宋体" w:cs="Times New Roman"/>
          <w:b/>
          <w:bCs/>
          <w:spacing w:val="-6"/>
          <w:szCs w:val="21"/>
        </w:rPr>
        <w:t>）的规定，</w:t>
      </w:r>
      <w:r>
        <w:rPr>
          <w:rFonts w:hint="eastAsia" w:ascii="宋体" w:hAnsi="宋体" w:eastAsia="宋体" w:cs="宋体"/>
          <w:color w:val="000000"/>
          <w:kern w:val="0"/>
          <w:szCs w:val="21"/>
        </w:rPr>
        <w:t>监狱企业参加政府采购活动时，提供由省级以上监狱管理局</w:t>
      </w:r>
      <w:r>
        <w:rPr>
          <w:rFonts w:hint="eastAsia" w:ascii="宋体" w:hAnsi="宋体" w:eastAsia="宋体" w:cs="宋体"/>
          <w:kern w:val="0"/>
          <w:szCs w:val="21"/>
        </w:rPr>
        <w:t>、戒毒管理局（含新疆生产建设兵团）出具的属于监狱企业的证明文件的，在政府采购活动中，监狱企业视</w:t>
      </w:r>
      <w:r>
        <w:rPr>
          <w:rFonts w:hint="eastAsia" w:ascii="宋体" w:hAnsi="宋体" w:eastAsia="宋体" w:cs="宋体"/>
          <w:color w:val="000000"/>
          <w:kern w:val="0"/>
          <w:szCs w:val="21"/>
        </w:rPr>
        <w:t>同小型、微型企业，享受预留份额、评审中价格扣除等政府采购促进中小企业发展的政府采购政策。</w:t>
      </w:r>
    </w:p>
    <w:bookmarkEnd w:id="54"/>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根据《关于促进残疾人就业政府采购政策的通知》（财库[2017]141号）的规定，</w:t>
      </w:r>
      <w:r>
        <w:rPr>
          <w:rFonts w:hint="eastAsia" w:ascii="宋体" w:hAnsi="宋体" w:eastAsia="宋体"/>
          <w:color w:val="000000"/>
          <w:szCs w:val="21"/>
        </w:rPr>
        <w:t>符合条件的残疾人福利性单位在参加政府采购活动时，</w:t>
      </w:r>
      <w:r>
        <w:rPr>
          <w:rFonts w:hint="eastAsia" w:ascii="宋体" w:hAnsi="宋体" w:eastAsia="宋体"/>
          <w:szCs w:val="21"/>
        </w:rPr>
        <w:t>提供财库</w:t>
      </w:r>
      <w:r>
        <w:rPr>
          <w:rFonts w:ascii="宋体" w:hAnsi="宋体" w:eastAsia="宋体"/>
          <w:szCs w:val="21"/>
        </w:rPr>
        <w:t>[2017]141号</w:t>
      </w:r>
      <w:r>
        <w:rPr>
          <w:rFonts w:hint="eastAsia" w:ascii="宋体" w:hAnsi="宋体" w:eastAsia="宋体"/>
          <w:szCs w:val="21"/>
        </w:rPr>
        <w:t>文件</w:t>
      </w:r>
      <w:r>
        <w:rPr>
          <w:rFonts w:hint="eastAsia" w:ascii="宋体" w:hAnsi="宋体" w:eastAsia="宋体"/>
          <w:color w:val="000000"/>
          <w:szCs w:val="21"/>
        </w:rPr>
        <w:t>规定的《残疾人福利性单位声明函》的，在政府采购活</w:t>
      </w:r>
      <w:r>
        <w:rPr>
          <w:rFonts w:hint="eastAsia" w:ascii="宋体" w:hAnsi="宋体" w:eastAsia="宋体"/>
          <w:szCs w:val="21"/>
        </w:rPr>
        <w:t>动中，残疾人福利性单位视同小型、微型企业，享受预留份额、评审中价格扣除等促进中小企业发展的政府采购政策。</w:t>
      </w:r>
      <w:r>
        <w:rPr>
          <w:rFonts w:ascii="宋体" w:hAnsi="宋体" w:eastAsia="宋体" w:cs="Times New Roman"/>
          <w:spacing w:val="-6"/>
          <w:szCs w:val="21"/>
        </w:rPr>
        <w:t>残疾人福利性单位属于小型、微型企业的，不重复享受政策。</w:t>
      </w:r>
    </w:p>
    <w:bookmarkEnd w:id="55"/>
    <w:p>
      <w:pPr>
        <w:widowControl/>
        <w:adjustRightInd w:val="0"/>
        <w:snapToGrid w:val="0"/>
        <w:spacing w:line="288" w:lineRule="auto"/>
        <w:jc w:val="left"/>
        <w:rPr>
          <w:rFonts w:ascii="宋体" w:hAnsi="宋体" w:eastAsia="宋体" w:cs="Times New Roman"/>
          <w:b/>
          <w:bCs/>
          <w:spacing w:val="-6"/>
          <w:szCs w:val="21"/>
        </w:rPr>
      </w:pPr>
      <w:r>
        <w:rPr>
          <w:rFonts w:ascii="宋体" w:hAnsi="宋体" w:eastAsia="宋体" w:cs="Times New Roman"/>
          <w:b/>
          <w:bCs/>
          <w:spacing w:val="-6"/>
          <w:szCs w:val="21"/>
        </w:rPr>
        <w:br w:type="page"/>
      </w:r>
    </w:p>
    <w:p>
      <w:pPr>
        <w:adjustRightInd w:val="0"/>
        <w:snapToGrid w:val="0"/>
        <w:spacing w:line="288" w:lineRule="auto"/>
        <w:jc w:val="center"/>
        <w:outlineLvl w:val="0"/>
        <w:rPr>
          <w:rFonts w:ascii="宋体" w:hAnsi="宋体" w:eastAsia="宋体" w:cs="宋体"/>
          <w:b/>
          <w:bCs/>
          <w:spacing w:val="-6"/>
          <w:sz w:val="32"/>
          <w:szCs w:val="32"/>
        </w:rPr>
      </w:pPr>
      <w:r>
        <w:rPr>
          <w:rFonts w:hint="eastAsia" w:ascii="宋体" w:hAnsi="宋体" w:eastAsia="宋体" w:cs="宋体"/>
          <w:b/>
          <w:sz w:val="32"/>
          <w:szCs w:val="32"/>
        </w:rPr>
        <w:t>第五章  拟签订的合同文本</w:t>
      </w:r>
    </w:p>
    <w:p>
      <w:pPr>
        <w:adjustRightInd w:val="0"/>
        <w:snapToGrid w:val="0"/>
        <w:spacing w:line="288" w:lineRule="auto"/>
        <w:rPr>
          <w:rFonts w:ascii="宋体" w:hAnsi="宋体" w:eastAsia="宋体" w:cs="宋体"/>
          <w:b/>
          <w:spacing w:val="-6"/>
          <w:sz w:val="24"/>
          <w:szCs w:val="24"/>
        </w:rPr>
      </w:pPr>
    </w:p>
    <w:p>
      <w:pPr>
        <w:spacing w:line="288" w:lineRule="auto"/>
        <w:jc w:val="center"/>
        <w:rPr>
          <w:rFonts w:ascii="宋体" w:hAnsi="宋体" w:eastAsia="宋体" w:cs="仿宋"/>
          <w:b/>
          <w:color w:val="000000"/>
          <w:sz w:val="24"/>
          <w:szCs w:val="24"/>
        </w:rPr>
      </w:pPr>
      <w:r>
        <w:rPr>
          <w:rFonts w:ascii="宋体" w:hAnsi="宋体" w:eastAsia="宋体" w:cs="仿宋"/>
          <w:b/>
          <w:color w:val="000000"/>
          <w:sz w:val="24"/>
          <w:szCs w:val="24"/>
        </w:rPr>
        <w:t>浙江机电职业技术学院</w:t>
      </w:r>
    </w:p>
    <w:p>
      <w:pPr>
        <w:spacing w:line="288" w:lineRule="auto"/>
        <w:jc w:val="center"/>
        <w:rPr>
          <w:rFonts w:ascii="宋体" w:hAnsi="宋体" w:eastAsia="宋体" w:cs="仿宋"/>
          <w:b/>
          <w:color w:val="000000"/>
          <w:sz w:val="24"/>
          <w:szCs w:val="24"/>
        </w:rPr>
      </w:pPr>
      <w:r>
        <w:rPr>
          <w:rFonts w:ascii="宋体" w:hAnsi="宋体" w:eastAsia="宋体" w:cs="Times New Roman"/>
          <w:b/>
          <w:bCs/>
          <w:spacing w:val="-6"/>
          <w:sz w:val="24"/>
          <w:szCs w:val="24"/>
        </w:rPr>
        <w:t>两校区交换机更新与安全性能提升</w:t>
      </w:r>
      <w:r>
        <w:rPr>
          <w:rFonts w:hint="eastAsia" w:ascii="宋体" w:hAnsi="宋体" w:eastAsia="宋体" w:cs="仿宋"/>
          <w:b/>
          <w:color w:val="000000"/>
          <w:sz w:val="24"/>
          <w:szCs w:val="24"/>
        </w:rPr>
        <w:t>项目采购合同</w:t>
      </w:r>
    </w:p>
    <w:p>
      <w:pPr>
        <w:spacing w:line="288" w:lineRule="auto"/>
        <w:jc w:val="center"/>
        <w:rPr>
          <w:rFonts w:ascii="宋体" w:hAnsi="宋体" w:eastAsia="宋体" w:cs="仿宋"/>
          <w:color w:val="auto"/>
          <w:spacing w:val="-6"/>
          <w:szCs w:val="21"/>
        </w:rPr>
      </w:pPr>
      <w:r>
        <w:rPr>
          <w:rFonts w:hint="eastAsia" w:ascii="宋体" w:hAnsi="宋体" w:eastAsia="宋体" w:cs="仿宋"/>
          <w:color w:val="auto"/>
          <w:spacing w:val="-6"/>
          <w:szCs w:val="21"/>
        </w:rPr>
        <w:t>（本合同为合同样稿，最终稿由双方协商后确定，合同实质性内容不得更改；签订合同时删除此行）</w:t>
      </w:r>
    </w:p>
    <w:p>
      <w:pPr>
        <w:snapToGrid w:val="0"/>
        <w:spacing w:line="288" w:lineRule="auto"/>
        <w:rPr>
          <w:rFonts w:ascii="宋体" w:hAnsi="宋体" w:eastAsia="宋体" w:cs="仿宋"/>
          <w:b/>
          <w:szCs w:val="21"/>
        </w:rPr>
      </w:pPr>
      <w:r>
        <w:rPr>
          <w:rFonts w:hint="eastAsia" w:ascii="宋体" w:hAnsi="宋体" w:eastAsia="宋体" w:cs="仿宋"/>
          <w:b/>
          <w:szCs w:val="21"/>
        </w:rPr>
        <w:t>项目编号：</w:t>
      </w:r>
      <w:r>
        <w:rPr>
          <w:rFonts w:ascii="宋体" w:hAnsi="宋体" w:eastAsia="宋体" w:cs="Times New Roman"/>
          <w:b/>
          <w:bCs/>
          <w:spacing w:val="-6"/>
          <w:szCs w:val="21"/>
        </w:rPr>
        <w:t>QSZB-Z(H)-C23467(GK)</w:t>
      </w:r>
      <w:r>
        <w:rPr>
          <w:rFonts w:hint="eastAsia" w:ascii="宋体" w:hAnsi="宋体" w:eastAsia="宋体" w:cs="仿宋"/>
          <w:b/>
          <w:szCs w:val="21"/>
        </w:rPr>
        <w:t xml:space="preserve">                                  合同编号：         </w:t>
      </w:r>
    </w:p>
    <w:p>
      <w:pPr>
        <w:snapToGrid w:val="0"/>
        <w:spacing w:line="288" w:lineRule="auto"/>
        <w:rPr>
          <w:rFonts w:ascii="宋体" w:hAnsi="宋体" w:eastAsia="宋体" w:cs="仿宋"/>
          <w:b/>
          <w:szCs w:val="21"/>
        </w:rPr>
      </w:pPr>
      <w:r>
        <w:rPr>
          <w:rFonts w:hint="eastAsia" w:ascii="宋体" w:hAnsi="宋体" w:eastAsia="宋体" w:cs="仿宋"/>
          <w:b/>
          <w:szCs w:val="21"/>
        </w:rPr>
        <w:t>确认书编号（如有）：</w:t>
      </w:r>
      <w:r>
        <w:rPr>
          <w:rFonts w:hint="eastAsia" w:ascii="宋体" w:hAnsi="宋体" w:eastAsia="宋体" w:cs="仿宋"/>
          <w:szCs w:val="21"/>
        </w:rPr>
        <w:t>浙财采确[2023]     号</w:t>
      </w:r>
    </w:p>
    <w:p>
      <w:pPr>
        <w:snapToGrid w:val="0"/>
        <w:spacing w:line="288" w:lineRule="auto"/>
        <w:rPr>
          <w:rFonts w:ascii="宋体" w:hAnsi="宋体" w:eastAsia="宋体" w:cs="仿宋"/>
          <w:b/>
          <w:szCs w:val="21"/>
        </w:rPr>
      </w:pPr>
      <w:r>
        <w:rPr>
          <w:rFonts w:hint="eastAsia" w:ascii="宋体" w:hAnsi="宋体" w:eastAsia="宋体" w:cs="仿宋"/>
          <w:b/>
          <w:szCs w:val="21"/>
        </w:rPr>
        <w:t>甲方（采购人）：浙江机电职业技术学院</w:t>
      </w:r>
    </w:p>
    <w:p>
      <w:pPr>
        <w:snapToGrid w:val="0"/>
        <w:spacing w:line="288" w:lineRule="auto"/>
        <w:rPr>
          <w:rFonts w:ascii="宋体" w:hAnsi="宋体" w:eastAsia="宋体" w:cs="仿宋"/>
          <w:b/>
          <w:szCs w:val="21"/>
        </w:rPr>
      </w:pPr>
      <w:r>
        <w:rPr>
          <w:rFonts w:hint="eastAsia" w:ascii="宋体" w:hAnsi="宋体" w:eastAsia="宋体" w:cs="仿宋"/>
          <w:b/>
          <w:szCs w:val="21"/>
        </w:rPr>
        <w:t>乙方（供应商）：</w:t>
      </w:r>
    </w:p>
    <w:p>
      <w:pPr>
        <w:spacing w:line="288" w:lineRule="auto"/>
        <w:ind w:firstLine="480"/>
        <w:rPr>
          <w:rFonts w:ascii="宋体" w:hAnsi="宋体" w:eastAsia="宋体" w:cs="仿宋"/>
          <w:szCs w:val="21"/>
        </w:rPr>
      </w:pPr>
      <w:r>
        <w:rPr>
          <w:rFonts w:ascii="宋体" w:hAnsi="宋体" w:eastAsia="宋体" w:cs="仿宋"/>
          <w:szCs w:val="21"/>
        </w:rPr>
        <w:t>为了保护甲乙双方合法权益，根据《中华人民共和国政府釆购法》《中华人民共和国</w:t>
      </w:r>
      <w:r>
        <w:rPr>
          <w:rFonts w:hint="eastAsia" w:ascii="宋体" w:hAnsi="宋体" w:eastAsia="宋体" w:cs="仿宋"/>
          <w:szCs w:val="21"/>
        </w:rPr>
        <w:t>民法典</w:t>
      </w:r>
      <w:r>
        <w:rPr>
          <w:rFonts w:ascii="宋体" w:hAnsi="宋体" w:eastAsia="宋体" w:cs="仿宋"/>
          <w:szCs w:val="21"/>
        </w:rPr>
        <w:t>》等相关法律法规</w:t>
      </w:r>
      <w:r>
        <w:rPr>
          <w:rFonts w:hint="eastAsia" w:ascii="宋体" w:hAnsi="宋体" w:eastAsia="宋体" w:cs="仿宋"/>
          <w:szCs w:val="21"/>
        </w:rPr>
        <w:t>，浙江机电职业技术学院就【</w:t>
      </w:r>
      <w:r>
        <w:rPr>
          <w:rFonts w:ascii="宋体" w:hAnsi="宋体" w:eastAsia="宋体" w:cs="Times New Roman"/>
          <w:b/>
          <w:bCs/>
          <w:spacing w:val="-6"/>
          <w:szCs w:val="21"/>
        </w:rPr>
        <w:t>两校区交换机更新与安全性能提升</w:t>
      </w:r>
      <w:r>
        <w:rPr>
          <w:rFonts w:hint="eastAsia" w:ascii="宋体" w:hAnsi="宋体" w:eastAsia="宋体" w:cs="仿宋"/>
          <w:szCs w:val="21"/>
        </w:rPr>
        <w:t>】项目采用【公开招标】方式进行采购</w:t>
      </w:r>
      <w:r>
        <w:rPr>
          <w:rFonts w:ascii="宋体" w:hAnsi="宋体" w:eastAsia="宋体" w:cs="仿宋"/>
          <w:szCs w:val="21"/>
        </w:rPr>
        <w:t>，确定</w:t>
      </w:r>
      <w:r>
        <w:rPr>
          <w:rFonts w:hint="eastAsia" w:ascii="宋体" w:hAnsi="宋体" w:eastAsia="宋体" w:cs="仿宋"/>
          <w:szCs w:val="21"/>
        </w:rPr>
        <w:t>【        】</w:t>
      </w:r>
      <w:r>
        <w:rPr>
          <w:rFonts w:ascii="宋体" w:hAnsi="宋体" w:eastAsia="宋体" w:cs="仿宋"/>
          <w:szCs w:val="21"/>
        </w:rPr>
        <w:t>为</w:t>
      </w:r>
      <w:r>
        <w:rPr>
          <w:rFonts w:hint="eastAsia" w:ascii="宋体" w:hAnsi="宋体" w:eastAsia="宋体" w:cs="仿宋"/>
          <w:szCs w:val="21"/>
        </w:rPr>
        <w:t>成交</w:t>
      </w:r>
      <w:r>
        <w:rPr>
          <w:rFonts w:ascii="宋体" w:hAnsi="宋体" w:eastAsia="宋体" w:cs="仿宋"/>
          <w:szCs w:val="21"/>
        </w:rPr>
        <w:t>单位，甲</w:t>
      </w:r>
      <w:r>
        <w:rPr>
          <w:rFonts w:hint="eastAsia" w:ascii="宋体" w:hAnsi="宋体" w:eastAsia="宋体" w:cs="仿宋"/>
          <w:szCs w:val="21"/>
        </w:rPr>
        <w:t>、</w:t>
      </w:r>
      <w:r>
        <w:rPr>
          <w:rFonts w:ascii="宋体" w:hAnsi="宋体" w:eastAsia="宋体" w:cs="仿宋"/>
          <w:szCs w:val="21"/>
        </w:rPr>
        <w:t>乙双方友好协商，达成以下条款：</w:t>
      </w:r>
    </w:p>
    <w:p>
      <w:pPr>
        <w:adjustRightInd w:val="0"/>
        <w:snapToGrid w:val="0"/>
        <w:spacing w:line="288" w:lineRule="auto"/>
        <w:ind w:firstLine="422" w:firstLineChars="200"/>
        <w:rPr>
          <w:rFonts w:ascii="宋体" w:hAnsi="宋体" w:eastAsia="宋体" w:cs="仿宋"/>
          <w:b/>
          <w:szCs w:val="21"/>
        </w:rPr>
      </w:pPr>
      <w:r>
        <w:rPr>
          <w:rFonts w:hint="eastAsia" w:ascii="宋体" w:hAnsi="宋体" w:eastAsia="宋体" w:cs="仿宋"/>
          <w:b/>
          <w:szCs w:val="21"/>
        </w:rPr>
        <w:t>第一条 采购标的、价格</w:t>
      </w:r>
    </w:p>
    <w:tbl>
      <w:tblPr>
        <w:tblStyle w:val="23"/>
        <w:tblW w:w="5000" w:type="pct"/>
        <w:tblInd w:w="0" w:type="dxa"/>
        <w:tblLayout w:type="autofit"/>
        <w:tblCellMar>
          <w:top w:w="0" w:type="dxa"/>
          <w:left w:w="0" w:type="dxa"/>
          <w:bottom w:w="0" w:type="dxa"/>
          <w:right w:w="0" w:type="dxa"/>
        </w:tblCellMar>
      </w:tblPr>
      <w:tblGrid>
        <w:gridCol w:w="697"/>
        <w:gridCol w:w="1219"/>
        <w:gridCol w:w="892"/>
        <w:gridCol w:w="2238"/>
        <w:gridCol w:w="1058"/>
        <w:gridCol w:w="1058"/>
        <w:gridCol w:w="1181"/>
        <w:gridCol w:w="1107"/>
      </w:tblGrid>
      <w:tr>
        <w:tblPrEx>
          <w:tblCellMar>
            <w:top w:w="0" w:type="dxa"/>
            <w:left w:w="0" w:type="dxa"/>
            <w:bottom w:w="0" w:type="dxa"/>
            <w:right w:w="0" w:type="dxa"/>
          </w:tblCellMar>
        </w:tblPrEx>
        <w:trPr>
          <w:trHeight w:val="340" w:hRule="atLeast"/>
        </w:trPr>
        <w:tc>
          <w:tcPr>
            <w:tcW w:w="369"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r>
              <w:rPr>
                <w:rFonts w:hint="eastAsia" w:ascii="宋体" w:hAnsi="宋体" w:eastAsia="宋体" w:cs="仿宋"/>
                <w:szCs w:val="21"/>
              </w:rPr>
              <w:t>序号</w:t>
            </w:r>
          </w:p>
        </w:tc>
        <w:tc>
          <w:tcPr>
            <w:tcW w:w="64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r>
              <w:rPr>
                <w:rFonts w:hint="eastAsia" w:ascii="宋体" w:hAnsi="宋体" w:eastAsia="宋体" w:cs="仿宋"/>
                <w:szCs w:val="21"/>
              </w:rPr>
              <w:t>货物名称</w:t>
            </w:r>
          </w:p>
        </w:tc>
        <w:tc>
          <w:tcPr>
            <w:tcW w:w="472" w:type="pct"/>
            <w:tcBorders>
              <w:top w:val="single" w:color="000000" w:sz="6" w:space="0"/>
              <w:left w:val="single" w:color="000000" w:sz="6" w:space="0"/>
              <w:bottom w:val="single" w:color="000000" w:sz="6" w:space="0"/>
              <w:right w:val="single" w:color="auto" w:sz="4"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r>
              <w:rPr>
                <w:rFonts w:hint="eastAsia" w:ascii="宋体" w:hAnsi="宋体" w:eastAsia="宋体" w:cs="仿宋"/>
                <w:szCs w:val="21"/>
              </w:rPr>
              <w:t>品牌</w:t>
            </w:r>
          </w:p>
        </w:tc>
        <w:tc>
          <w:tcPr>
            <w:tcW w:w="1184" w:type="pct"/>
            <w:tcBorders>
              <w:top w:val="single" w:color="000000" w:sz="6" w:space="0"/>
              <w:left w:val="single" w:color="auto" w:sz="4" w:space="0"/>
              <w:bottom w:val="single" w:color="000000" w:sz="6" w:space="0"/>
              <w:right w:val="single" w:color="auto" w:sz="4"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r>
              <w:rPr>
                <w:rFonts w:hint="eastAsia" w:ascii="宋体" w:hAnsi="宋体" w:eastAsia="宋体" w:cs="仿宋"/>
                <w:szCs w:val="21"/>
              </w:rPr>
              <w:t>规格型号</w:t>
            </w:r>
          </w:p>
        </w:tc>
        <w:tc>
          <w:tcPr>
            <w:tcW w:w="560" w:type="pct"/>
            <w:tcBorders>
              <w:top w:val="single" w:color="000000" w:sz="6" w:space="0"/>
              <w:left w:val="single" w:color="auto" w:sz="4" w:space="0"/>
              <w:bottom w:val="single" w:color="000000" w:sz="6" w:space="0"/>
              <w:right w:val="single" w:color="auto" w:sz="4" w:space="0"/>
            </w:tcBorders>
            <w:vAlign w:val="center"/>
          </w:tcPr>
          <w:p>
            <w:pPr>
              <w:spacing w:line="288" w:lineRule="auto"/>
              <w:jc w:val="center"/>
              <w:rPr>
                <w:rFonts w:ascii="宋体" w:hAnsi="宋体" w:eastAsia="宋体" w:cs="仿宋"/>
                <w:szCs w:val="21"/>
              </w:rPr>
            </w:pPr>
            <w:r>
              <w:rPr>
                <w:rFonts w:hint="eastAsia" w:ascii="宋体" w:hAnsi="宋体" w:eastAsia="宋体" w:cs="仿宋"/>
                <w:szCs w:val="21"/>
              </w:rPr>
              <w:t>数量</w:t>
            </w:r>
          </w:p>
        </w:tc>
        <w:tc>
          <w:tcPr>
            <w:tcW w:w="560" w:type="pct"/>
            <w:tcBorders>
              <w:top w:val="single" w:color="000000" w:sz="6" w:space="0"/>
              <w:left w:val="single" w:color="auto" w:sz="4" w:space="0"/>
              <w:bottom w:val="single" w:color="000000" w:sz="6" w:space="0"/>
              <w:right w:val="single" w:color="000000" w:sz="6" w:space="0"/>
            </w:tcBorders>
            <w:vAlign w:val="center"/>
          </w:tcPr>
          <w:p>
            <w:pPr>
              <w:spacing w:line="288" w:lineRule="auto"/>
              <w:jc w:val="center"/>
              <w:rPr>
                <w:rFonts w:ascii="宋体" w:hAnsi="宋体" w:eastAsia="宋体" w:cs="仿宋"/>
                <w:szCs w:val="21"/>
              </w:rPr>
            </w:pPr>
            <w:r>
              <w:rPr>
                <w:rFonts w:hint="eastAsia" w:ascii="宋体" w:hAnsi="宋体" w:eastAsia="宋体" w:cs="仿宋"/>
                <w:szCs w:val="21"/>
              </w:rPr>
              <w:t>单位</w:t>
            </w:r>
          </w:p>
        </w:tc>
        <w:tc>
          <w:tcPr>
            <w:tcW w:w="62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r>
              <w:rPr>
                <w:rFonts w:hint="eastAsia" w:ascii="宋体" w:hAnsi="宋体" w:eastAsia="宋体" w:cs="仿宋"/>
                <w:szCs w:val="21"/>
              </w:rPr>
              <w:t>单价</w:t>
            </w:r>
          </w:p>
          <w:p>
            <w:pPr>
              <w:spacing w:line="288" w:lineRule="auto"/>
              <w:jc w:val="center"/>
              <w:rPr>
                <w:rFonts w:ascii="宋体" w:hAnsi="宋体" w:eastAsia="宋体" w:cs="仿宋"/>
                <w:szCs w:val="21"/>
              </w:rPr>
            </w:pPr>
            <w:r>
              <w:rPr>
                <w:rFonts w:hint="eastAsia" w:ascii="宋体" w:hAnsi="宋体" w:eastAsia="宋体" w:cs="仿宋"/>
                <w:szCs w:val="21"/>
              </w:rPr>
              <w:t>（元）</w:t>
            </w:r>
          </w:p>
        </w:tc>
        <w:tc>
          <w:tcPr>
            <w:tcW w:w="585" w:type="pct"/>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rFonts w:ascii="宋体" w:hAnsi="宋体" w:eastAsia="宋体" w:cs="仿宋"/>
                <w:szCs w:val="21"/>
              </w:rPr>
            </w:pPr>
            <w:r>
              <w:rPr>
                <w:rFonts w:hint="eastAsia" w:ascii="宋体" w:hAnsi="宋体" w:eastAsia="宋体" w:cs="仿宋"/>
                <w:szCs w:val="21"/>
              </w:rPr>
              <w:t>合价</w:t>
            </w:r>
          </w:p>
          <w:p>
            <w:pPr>
              <w:spacing w:line="288" w:lineRule="auto"/>
              <w:jc w:val="center"/>
              <w:rPr>
                <w:rFonts w:ascii="宋体" w:hAnsi="宋体" w:eastAsia="宋体" w:cs="仿宋"/>
                <w:szCs w:val="21"/>
              </w:rPr>
            </w:pPr>
            <w:r>
              <w:rPr>
                <w:rFonts w:hint="eastAsia" w:ascii="宋体" w:hAnsi="宋体" w:eastAsia="宋体" w:cs="仿宋"/>
                <w:szCs w:val="21"/>
              </w:rPr>
              <w:t>（元）</w:t>
            </w:r>
          </w:p>
        </w:tc>
      </w:tr>
      <w:tr>
        <w:tblPrEx>
          <w:tblCellMar>
            <w:top w:w="0" w:type="dxa"/>
            <w:left w:w="0" w:type="dxa"/>
            <w:bottom w:w="0" w:type="dxa"/>
            <w:right w:w="0" w:type="dxa"/>
          </w:tblCellMar>
        </w:tblPrEx>
        <w:trPr>
          <w:trHeight w:val="340" w:hRule="atLeast"/>
        </w:trPr>
        <w:tc>
          <w:tcPr>
            <w:tcW w:w="369"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r>
              <w:rPr>
                <w:rFonts w:hint="eastAsia" w:ascii="宋体" w:hAnsi="宋体" w:eastAsia="宋体" w:cs="仿宋"/>
                <w:szCs w:val="21"/>
              </w:rPr>
              <w:t>1</w:t>
            </w:r>
          </w:p>
        </w:tc>
        <w:tc>
          <w:tcPr>
            <w:tcW w:w="64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472" w:type="pct"/>
            <w:tcBorders>
              <w:top w:val="single" w:color="000000" w:sz="6" w:space="0"/>
              <w:left w:val="single" w:color="000000" w:sz="6" w:space="0"/>
              <w:bottom w:val="single" w:color="000000" w:sz="6" w:space="0"/>
              <w:right w:val="single" w:color="auto" w:sz="4"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1184" w:type="pct"/>
            <w:tcBorders>
              <w:top w:val="single" w:color="000000" w:sz="6" w:space="0"/>
              <w:left w:val="single" w:color="auto" w:sz="4" w:space="0"/>
              <w:bottom w:val="single" w:color="000000" w:sz="6" w:space="0"/>
              <w:right w:val="single" w:color="auto" w:sz="4"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560" w:type="pct"/>
            <w:tcBorders>
              <w:top w:val="single" w:color="000000" w:sz="6" w:space="0"/>
              <w:left w:val="single" w:color="auto" w:sz="4" w:space="0"/>
              <w:bottom w:val="single" w:color="000000" w:sz="6" w:space="0"/>
              <w:right w:val="single" w:color="auto" w:sz="4" w:space="0"/>
            </w:tcBorders>
            <w:vAlign w:val="center"/>
          </w:tcPr>
          <w:p>
            <w:pPr>
              <w:spacing w:line="288" w:lineRule="auto"/>
              <w:jc w:val="center"/>
              <w:rPr>
                <w:rFonts w:ascii="宋体" w:hAnsi="宋体" w:eastAsia="宋体" w:cs="仿宋"/>
                <w:szCs w:val="21"/>
              </w:rPr>
            </w:pPr>
          </w:p>
        </w:tc>
        <w:tc>
          <w:tcPr>
            <w:tcW w:w="560" w:type="pct"/>
            <w:tcBorders>
              <w:top w:val="single" w:color="000000" w:sz="6" w:space="0"/>
              <w:left w:val="single" w:color="auto" w:sz="4" w:space="0"/>
              <w:bottom w:val="single" w:color="000000" w:sz="6" w:space="0"/>
              <w:right w:val="single" w:color="000000" w:sz="6" w:space="0"/>
            </w:tcBorders>
            <w:vAlign w:val="center"/>
          </w:tcPr>
          <w:p>
            <w:pPr>
              <w:spacing w:line="288" w:lineRule="auto"/>
              <w:jc w:val="center"/>
              <w:rPr>
                <w:rFonts w:ascii="宋体" w:hAnsi="宋体" w:eastAsia="宋体" w:cs="仿宋"/>
                <w:szCs w:val="21"/>
              </w:rPr>
            </w:pPr>
          </w:p>
        </w:tc>
        <w:tc>
          <w:tcPr>
            <w:tcW w:w="62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585" w:type="pct"/>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rFonts w:ascii="宋体" w:hAnsi="宋体" w:eastAsia="宋体" w:cs="仿宋"/>
                <w:szCs w:val="21"/>
              </w:rPr>
            </w:pPr>
          </w:p>
        </w:tc>
      </w:tr>
      <w:tr>
        <w:tblPrEx>
          <w:tblCellMar>
            <w:top w:w="0" w:type="dxa"/>
            <w:left w:w="0" w:type="dxa"/>
            <w:bottom w:w="0" w:type="dxa"/>
            <w:right w:w="0" w:type="dxa"/>
          </w:tblCellMar>
        </w:tblPrEx>
        <w:trPr>
          <w:trHeight w:val="340" w:hRule="atLeast"/>
        </w:trPr>
        <w:tc>
          <w:tcPr>
            <w:tcW w:w="369"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r>
              <w:rPr>
                <w:rFonts w:hint="eastAsia" w:ascii="宋体" w:hAnsi="宋体" w:eastAsia="宋体" w:cs="仿宋"/>
                <w:szCs w:val="21"/>
              </w:rPr>
              <w:t>2</w:t>
            </w:r>
          </w:p>
        </w:tc>
        <w:tc>
          <w:tcPr>
            <w:tcW w:w="64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472" w:type="pct"/>
            <w:tcBorders>
              <w:top w:val="single" w:color="000000" w:sz="6" w:space="0"/>
              <w:left w:val="single" w:color="000000" w:sz="6" w:space="0"/>
              <w:bottom w:val="single" w:color="000000" w:sz="6" w:space="0"/>
              <w:right w:val="single" w:color="auto" w:sz="4"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1184" w:type="pct"/>
            <w:tcBorders>
              <w:top w:val="single" w:color="000000" w:sz="6" w:space="0"/>
              <w:left w:val="single" w:color="auto" w:sz="4" w:space="0"/>
              <w:bottom w:val="single" w:color="000000" w:sz="6" w:space="0"/>
              <w:right w:val="single" w:color="auto" w:sz="4"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560" w:type="pct"/>
            <w:tcBorders>
              <w:top w:val="single" w:color="000000" w:sz="6" w:space="0"/>
              <w:left w:val="single" w:color="auto" w:sz="4" w:space="0"/>
              <w:bottom w:val="single" w:color="000000" w:sz="6" w:space="0"/>
              <w:right w:val="single" w:color="auto" w:sz="4" w:space="0"/>
            </w:tcBorders>
            <w:vAlign w:val="center"/>
          </w:tcPr>
          <w:p>
            <w:pPr>
              <w:spacing w:line="288" w:lineRule="auto"/>
              <w:jc w:val="center"/>
              <w:rPr>
                <w:rFonts w:ascii="宋体" w:hAnsi="宋体" w:eastAsia="宋体" w:cs="仿宋"/>
                <w:szCs w:val="21"/>
              </w:rPr>
            </w:pPr>
          </w:p>
        </w:tc>
        <w:tc>
          <w:tcPr>
            <w:tcW w:w="560" w:type="pct"/>
            <w:tcBorders>
              <w:top w:val="single" w:color="000000" w:sz="6" w:space="0"/>
              <w:left w:val="single" w:color="auto" w:sz="4" w:space="0"/>
              <w:bottom w:val="single" w:color="000000" w:sz="6" w:space="0"/>
              <w:right w:val="single" w:color="000000" w:sz="6" w:space="0"/>
            </w:tcBorders>
            <w:vAlign w:val="center"/>
          </w:tcPr>
          <w:p>
            <w:pPr>
              <w:spacing w:line="288" w:lineRule="auto"/>
              <w:jc w:val="center"/>
              <w:rPr>
                <w:rFonts w:ascii="宋体" w:hAnsi="宋体" w:eastAsia="宋体" w:cs="仿宋"/>
                <w:szCs w:val="21"/>
              </w:rPr>
            </w:pPr>
          </w:p>
        </w:tc>
        <w:tc>
          <w:tcPr>
            <w:tcW w:w="62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585" w:type="pct"/>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rFonts w:ascii="宋体" w:hAnsi="宋体" w:eastAsia="宋体" w:cs="仿宋"/>
                <w:szCs w:val="21"/>
              </w:rPr>
            </w:pPr>
          </w:p>
        </w:tc>
      </w:tr>
      <w:tr>
        <w:tblPrEx>
          <w:tblCellMar>
            <w:top w:w="0" w:type="dxa"/>
            <w:left w:w="0" w:type="dxa"/>
            <w:bottom w:w="0" w:type="dxa"/>
            <w:right w:w="0" w:type="dxa"/>
          </w:tblCellMar>
        </w:tblPrEx>
        <w:trPr>
          <w:trHeight w:val="340" w:hRule="atLeast"/>
        </w:trPr>
        <w:tc>
          <w:tcPr>
            <w:tcW w:w="369"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r>
              <w:rPr>
                <w:rFonts w:hint="eastAsia" w:ascii="宋体" w:hAnsi="宋体" w:eastAsia="宋体" w:cs="仿宋"/>
                <w:szCs w:val="21"/>
              </w:rPr>
              <w:t>3</w:t>
            </w:r>
          </w:p>
        </w:tc>
        <w:tc>
          <w:tcPr>
            <w:tcW w:w="64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472" w:type="pct"/>
            <w:tcBorders>
              <w:top w:val="single" w:color="000000" w:sz="6" w:space="0"/>
              <w:left w:val="single" w:color="000000" w:sz="6" w:space="0"/>
              <w:bottom w:val="single" w:color="000000" w:sz="6" w:space="0"/>
              <w:right w:val="single" w:color="auto" w:sz="4"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1184" w:type="pct"/>
            <w:tcBorders>
              <w:top w:val="single" w:color="000000" w:sz="6" w:space="0"/>
              <w:left w:val="single" w:color="auto" w:sz="4" w:space="0"/>
              <w:bottom w:val="single" w:color="000000" w:sz="6" w:space="0"/>
              <w:right w:val="single" w:color="auto" w:sz="4"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560" w:type="pct"/>
            <w:tcBorders>
              <w:top w:val="single" w:color="000000" w:sz="6" w:space="0"/>
              <w:left w:val="single" w:color="auto" w:sz="4" w:space="0"/>
              <w:bottom w:val="single" w:color="000000" w:sz="6" w:space="0"/>
              <w:right w:val="single" w:color="auto" w:sz="4" w:space="0"/>
            </w:tcBorders>
            <w:vAlign w:val="center"/>
          </w:tcPr>
          <w:p>
            <w:pPr>
              <w:spacing w:line="288" w:lineRule="auto"/>
              <w:jc w:val="center"/>
              <w:rPr>
                <w:rFonts w:ascii="宋体" w:hAnsi="宋体" w:eastAsia="宋体" w:cs="仿宋"/>
                <w:szCs w:val="21"/>
              </w:rPr>
            </w:pPr>
          </w:p>
        </w:tc>
        <w:tc>
          <w:tcPr>
            <w:tcW w:w="560" w:type="pct"/>
            <w:tcBorders>
              <w:top w:val="single" w:color="000000" w:sz="6" w:space="0"/>
              <w:left w:val="single" w:color="auto" w:sz="4" w:space="0"/>
              <w:bottom w:val="single" w:color="000000" w:sz="6" w:space="0"/>
              <w:right w:val="single" w:color="000000" w:sz="6" w:space="0"/>
            </w:tcBorders>
            <w:vAlign w:val="center"/>
          </w:tcPr>
          <w:p>
            <w:pPr>
              <w:spacing w:line="288" w:lineRule="auto"/>
              <w:jc w:val="center"/>
              <w:rPr>
                <w:rFonts w:ascii="宋体" w:hAnsi="宋体" w:eastAsia="宋体" w:cs="仿宋"/>
                <w:szCs w:val="21"/>
              </w:rPr>
            </w:pPr>
          </w:p>
        </w:tc>
        <w:tc>
          <w:tcPr>
            <w:tcW w:w="62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585" w:type="pct"/>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rFonts w:ascii="宋体" w:hAnsi="宋体" w:eastAsia="宋体" w:cs="仿宋"/>
                <w:szCs w:val="21"/>
              </w:rPr>
            </w:pPr>
          </w:p>
        </w:tc>
      </w:tr>
      <w:tr>
        <w:tblPrEx>
          <w:tblCellMar>
            <w:top w:w="0" w:type="dxa"/>
            <w:left w:w="0" w:type="dxa"/>
            <w:bottom w:w="0" w:type="dxa"/>
            <w:right w:w="0" w:type="dxa"/>
          </w:tblCellMar>
        </w:tblPrEx>
        <w:trPr>
          <w:trHeight w:val="340" w:hRule="atLeast"/>
        </w:trPr>
        <w:tc>
          <w:tcPr>
            <w:tcW w:w="369"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r>
              <w:rPr>
                <w:rFonts w:hint="eastAsia" w:ascii="宋体" w:hAnsi="宋体" w:eastAsia="宋体" w:cs="仿宋"/>
                <w:szCs w:val="21"/>
              </w:rPr>
              <w:t>...</w:t>
            </w:r>
          </w:p>
        </w:tc>
        <w:tc>
          <w:tcPr>
            <w:tcW w:w="64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472" w:type="pct"/>
            <w:tcBorders>
              <w:top w:val="single" w:color="000000" w:sz="6" w:space="0"/>
              <w:left w:val="single" w:color="000000" w:sz="6" w:space="0"/>
              <w:bottom w:val="single" w:color="000000" w:sz="6" w:space="0"/>
              <w:right w:val="single" w:color="auto" w:sz="4"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1184" w:type="pct"/>
            <w:tcBorders>
              <w:top w:val="single" w:color="000000" w:sz="6" w:space="0"/>
              <w:left w:val="single" w:color="auto" w:sz="4" w:space="0"/>
              <w:bottom w:val="single" w:color="000000" w:sz="6" w:space="0"/>
              <w:right w:val="single" w:color="auto" w:sz="4"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560" w:type="pct"/>
            <w:tcBorders>
              <w:top w:val="single" w:color="000000" w:sz="6" w:space="0"/>
              <w:left w:val="single" w:color="auto" w:sz="4" w:space="0"/>
              <w:bottom w:val="single" w:color="000000" w:sz="6" w:space="0"/>
              <w:right w:val="single" w:color="auto" w:sz="4" w:space="0"/>
            </w:tcBorders>
            <w:vAlign w:val="center"/>
          </w:tcPr>
          <w:p>
            <w:pPr>
              <w:spacing w:line="288" w:lineRule="auto"/>
              <w:jc w:val="center"/>
              <w:rPr>
                <w:rFonts w:ascii="宋体" w:hAnsi="宋体" w:eastAsia="宋体" w:cs="仿宋"/>
                <w:szCs w:val="21"/>
              </w:rPr>
            </w:pPr>
          </w:p>
        </w:tc>
        <w:tc>
          <w:tcPr>
            <w:tcW w:w="560" w:type="pct"/>
            <w:tcBorders>
              <w:top w:val="single" w:color="000000" w:sz="6" w:space="0"/>
              <w:left w:val="single" w:color="auto" w:sz="4" w:space="0"/>
              <w:bottom w:val="single" w:color="000000" w:sz="6" w:space="0"/>
              <w:right w:val="single" w:color="000000" w:sz="6" w:space="0"/>
            </w:tcBorders>
            <w:vAlign w:val="center"/>
          </w:tcPr>
          <w:p>
            <w:pPr>
              <w:spacing w:line="288" w:lineRule="auto"/>
              <w:jc w:val="center"/>
              <w:rPr>
                <w:rFonts w:ascii="宋体" w:hAnsi="宋体" w:eastAsia="宋体" w:cs="仿宋"/>
                <w:szCs w:val="21"/>
              </w:rPr>
            </w:pPr>
          </w:p>
        </w:tc>
        <w:tc>
          <w:tcPr>
            <w:tcW w:w="62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jc w:val="center"/>
              <w:rPr>
                <w:rFonts w:ascii="宋体" w:hAnsi="宋体" w:eastAsia="宋体" w:cs="仿宋"/>
                <w:szCs w:val="21"/>
              </w:rPr>
            </w:pPr>
          </w:p>
        </w:tc>
        <w:tc>
          <w:tcPr>
            <w:tcW w:w="585" w:type="pct"/>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rFonts w:ascii="宋体" w:hAnsi="宋体" w:eastAsia="宋体" w:cs="仿宋"/>
                <w:szCs w:val="21"/>
              </w:rPr>
            </w:pPr>
          </w:p>
        </w:tc>
      </w:tr>
      <w:tr>
        <w:tblPrEx>
          <w:tblCellMar>
            <w:top w:w="0" w:type="dxa"/>
            <w:left w:w="0" w:type="dxa"/>
            <w:bottom w:w="0" w:type="dxa"/>
            <w:right w:w="0" w:type="dxa"/>
          </w:tblCellMar>
        </w:tblPrEx>
        <w:trPr>
          <w:trHeight w:val="340" w:hRule="atLeast"/>
        </w:trPr>
        <w:tc>
          <w:tcPr>
            <w:tcW w:w="5000" w:type="pct"/>
            <w:gridSpan w:val="8"/>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spacing w:line="288" w:lineRule="auto"/>
              <w:rPr>
                <w:rFonts w:ascii="宋体" w:hAnsi="宋体" w:eastAsia="宋体" w:cs="仿宋"/>
                <w:szCs w:val="21"/>
              </w:rPr>
            </w:pPr>
            <w:r>
              <w:rPr>
                <w:rFonts w:hint="eastAsia" w:ascii="宋体" w:hAnsi="宋体" w:eastAsia="宋体" w:cs="仿宋"/>
                <w:b/>
                <w:bCs/>
                <w:szCs w:val="21"/>
              </w:rPr>
              <w:t>合同总价</w:t>
            </w:r>
            <w:r>
              <w:rPr>
                <w:rFonts w:hint="eastAsia" w:ascii="宋体" w:hAnsi="宋体" w:eastAsia="宋体" w:cs="仿宋"/>
                <w:szCs w:val="21"/>
              </w:rPr>
              <w:t>：（大写）【人民币        元整】   （小写）【</w:t>
            </w:r>
            <w:r>
              <w:rPr>
                <w:rFonts w:ascii="宋体" w:hAnsi="宋体" w:eastAsia="宋体" w:cs="仿宋"/>
                <w:szCs w:val="21"/>
              </w:rPr>
              <w:t>￥</w:t>
            </w:r>
            <w:r>
              <w:rPr>
                <w:rFonts w:hint="eastAsia" w:ascii="宋体" w:hAnsi="宋体" w:eastAsia="宋体" w:cs="仿宋"/>
                <w:szCs w:val="21"/>
              </w:rPr>
              <w:t xml:space="preserve">     元】</w:t>
            </w:r>
          </w:p>
        </w:tc>
      </w:tr>
    </w:tbl>
    <w:p>
      <w:pPr>
        <w:adjustRightInd w:val="0"/>
        <w:snapToGrid w:val="0"/>
        <w:spacing w:line="288" w:lineRule="auto"/>
        <w:ind w:firstLine="420" w:firstLineChars="200"/>
        <w:rPr>
          <w:rFonts w:ascii="宋体" w:hAnsi="宋体" w:eastAsia="宋体" w:cs="仿宋"/>
          <w:szCs w:val="21"/>
        </w:rPr>
      </w:pPr>
      <w:r>
        <w:rPr>
          <w:rFonts w:ascii="宋体" w:hAnsi="宋体" w:eastAsia="宋体"/>
          <w:szCs w:val="21"/>
        </w:rPr>
        <w:t>注：以上合同总价包括完成所有产品供货及履行所有规定服务所产生的</w:t>
      </w:r>
      <w:r>
        <w:rPr>
          <w:rFonts w:hint="eastAsia" w:ascii="宋体" w:hAnsi="宋体" w:eastAsia="宋体"/>
          <w:szCs w:val="21"/>
        </w:rPr>
        <w:t>人工、材料、运输、安装、调试、税费等涉及此项目的</w:t>
      </w:r>
      <w:r>
        <w:rPr>
          <w:rFonts w:ascii="宋体" w:hAnsi="宋体" w:eastAsia="宋体"/>
          <w:szCs w:val="21"/>
        </w:rPr>
        <w:t>全部</w:t>
      </w:r>
      <w:r>
        <w:rPr>
          <w:rFonts w:hint="eastAsia" w:ascii="宋体" w:hAnsi="宋体" w:eastAsia="宋体"/>
          <w:szCs w:val="21"/>
        </w:rPr>
        <w:t>费用。</w:t>
      </w:r>
    </w:p>
    <w:p>
      <w:pPr>
        <w:adjustRightInd w:val="0"/>
        <w:snapToGrid w:val="0"/>
        <w:spacing w:line="288" w:lineRule="auto"/>
        <w:ind w:firstLine="422" w:firstLineChars="200"/>
        <w:rPr>
          <w:rFonts w:ascii="宋体" w:hAnsi="宋体" w:eastAsia="宋体" w:cs="仿宋"/>
          <w:b/>
          <w:szCs w:val="21"/>
        </w:rPr>
      </w:pPr>
      <w:r>
        <w:rPr>
          <w:rFonts w:hint="eastAsia" w:ascii="宋体" w:hAnsi="宋体" w:eastAsia="宋体" w:cs="仿宋"/>
          <w:b/>
          <w:szCs w:val="21"/>
        </w:rPr>
        <w:t>第二条 项目完成时间及地点</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一、项目完成时间：【2023年XX月XX日前】；</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二、乙方负责将货物安全运至甲方指定交货地点：【浙江机电职业技术学院XX校区内】；</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三、甲方收货联系人：【            】、联系方式：【            】。</w:t>
      </w:r>
    </w:p>
    <w:p>
      <w:pPr>
        <w:adjustRightInd w:val="0"/>
        <w:snapToGrid w:val="0"/>
        <w:spacing w:line="288" w:lineRule="auto"/>
        <w:ind w:firstLine="422" w:firstLineChars="200"/>
        <w:rPr>
          <w:rFonts w:ascii="宋体" w:hAnsi="宋体" w:eastAsia="宋体" w:cs="仿宋"/>
          <w:b/>
          <w:szCs w:val="21"/>
        </w:rPr>
      </w:pPr>
      <w:r>
        <w:rPr>
          <w:rFonts w:hint="eastAsia" w:ascii="宋体" w:hAnsi="宋体" w:eastAsia="宋体" w:cs="仿宋"/>
          <w:b/>
          <w:szCs w:val="21"/>
        </w:rPr>
        <w:t>第三条 履约保证金</w:t>
      </w:r>
    </w:p>
    <w:p>
      <w:pPr>
        <w:spacing w:line="288" w:lineRule="auto"/>
        <w:ind w:firstLine="480"/>
        <w:rPr>
          <w:rFonts w:ascii="宋体" w:hAnsi="宋体" w:eastAsia="宋体" w:cs="仿宋"/>
          <w:szCs w:val="21"/>
        </w:rPr>
      </w:pPr>
      <w:r>
        <w:rPr>
          <w:rFonts w:hint="eastAsia" w:ascii="宋体" w:hAnsi="宋体" w:eastAsia="宋体" w:cs="仿宋"/>
          <w:szCs w:val="21"/>
        </w:rPr>
        <w:t>合同总价的1%作为履约保证金，合同签订后五个工作日内由乙方向甲方缴纳，在甲方验收合格、确认乙方无违约行为后无息返还给乙方。接受金融机构、担保机构出具的以保函形式提交的履约保证金</w:t>
      </w:r>
      <w:r>
        <w:rPr>
          <w:rFonts w:hint="eastAsia" w:ascii="宋体" w:hAnsi="宋体" w:eastAsia="宋体" w:cs="仿宋"/>
          <w:color w:val="auto"/>
          <w:szCs w:val="21"/>
        </w:rPr>
        <w:t>（50万及以下不收取）</w:t>
      </w:r>
      <w:r>
        <w:rPr>
          <w:rFonts w:hint="eastAsia" w:ascii="宋体" w:hAnsi="宋体" w:eastAsia="宋体" w:cs="仿宋"/>
          <w:szCs w:val="21"/>
        </w:rPr>
        <w:t>。</w:t>
      </w:r>
    </w:p>
    <w:p>
      <w:pPr>
        <w:adjustRightInd w:val="0"/>
        <w:snapToGrid w:val="0"/>
        <w:spacing w:line="288" w:lineRule="auto"/>
        <w:ind w:firstLine="422" w:firstLineChars="200"/>
        <w:rPr>
          <w:rFonts w:ascii="宋体" w:hAnsi="宋体" w:eastAsia="宋体" w:cs="仿宋"/>
          <w:b/>
          <w:szCs w:val="21"/>
        </w:rPr>
      </w:pPr>
      <w:r>
        <w:rPr>
          <w:rFonts w:hint="eastAsia" w:ascii="宋体" w:hAnsi="宋体" w:eastAsia="宋体" w:cs="仿宋"/>
          <w:b/>
          <w:szCs w:val="21"/>
        </w:rPr>
        <w:t>第四条 货物质量标准</w:t>
      </w:r>
    </w:p>
    <w:p>
      <w:pPr>
        <w:snapToGrid w:val="0"/>
        <w:spacing w:line="288" w:lineRule="auto"/>
        <w:ind w:firstLine="420" w:firstLineChars="200"/>
        <w:jc w:val="left"/>
        <w:textAlignment w:val="baseline"/>
        <w:rPr>
          <w:rFonts w:ascii="宋体" w:hAnsi="宋体" w:eastAsia="宋体" w:cs="仿宋"/>
          <w:szCs w:val="21"/>
        </w:rPr>
      </w:pPr>
      <w:r>
        <w:rPr>
          <w:rFonts w:hint="eastAsia" w:ascii="宋体" w:hAnsi="宋体" w:eastAsia="宋体" w:cs="仿宋"/>
          <w:szCs w:val="21"/>
        </w:rPr>
        <w:t>一、如甲方在本合同或附件中已指明所购货物品牌型号的，则产品应为甲方所指定的货物，不允许乙方提供非本合同或附件中约定的货物或提供非原厂商生产的货物。</w:t>
      </w:r>
    </w:p>
    <w:p>
      <w:pPr>
        <w:snapToGrid w:val="0"/>
        <w:spacing w:line="288" w:lineRule="auto"/>
        <w:ind w:firstLine="420" w:firstLineChars="200"/>
        <w:jc w:val="left"/>
        <w:textAlignment w:val="baseline"/>
        <w:rPr>
          <w:rFonts w:ascii="宋体" w:hAnsi="宋体" w:eastAsia="宋体" w:cs="仿宋"/>
          <w:szCs w:val="21"/>
        </w:rPr>
      </w:pPr>
      <w:r>
        <w:rPr>
          <w:rFonts w:hint="eastAsia" w:ascii="宋体" w:hAnsi="宋体" w:eastAsia="宋体" w:cs="仿宋"/>
          <w:szCs w:val="21"/>
        </w:rPr>
        <w:t>二、乙方提供的货物质量应符合同类同规格货物的国家质量标准及行业质量标准，上述质量标准区分等级的，则应符合最高级别的标准，且交付后甲方能正常使用该货物，如乙方提供的货物既达不到上述标准，又不具备该类货物通常所应具备的使用功能和质量标准，且不能正常运行和使用，甲方有权拒绝收货，并有权终止或解除合同，由此给甲方造成的一切损失由乙方负责。</w:t>
      </w:r>
    </w:p>
    <w:p>
      <w:pPr>
        <w:adjustRightInd w:val="0"/>
        <w:snapToGrid w:val="0"/>
        <w:spacing w:line="288" w:lineRule="auto"/>
        <w:ind w:firstLine="422" w:firstLineChars="200"/>
        <w:rPr>
          <w:rFonts w:ascii="宋体" w:hAnsi="宋体" w:eastAsia="宋体" w:cs="仿宋"/>
          <w:b/>
          <w:szCs w:val="21"/>
        </w:rPr>
      </w:pPr>
      <w:r>
        <w:rPr>
          <w:rFonts w:hint="eastAsia" w:ascii="宋体" w:hAnsi="宋体" w:eastAsia="宋体" w:cs="仿宋"/>
          <w:b/>
          <w:szCs w:val="21"/>
        </w:rPr>
        <w:t>第五条 货物交付及安装调试要求</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一、乙方应根据货物的不同特性和要求采取防潮、防雨、防锈、防震、防磁等保护措施，以确保货物安全无损地到达交货地点。货物必须洁净完好、无划痕、无凹陷、无褪色、无锈迹，包装外观完好、无破损。</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二、上述运输、包装、装卸及运输保险费用均由乙方负担，货物在按照本合同约定所有权转移给甲方前的全部风险由乙方承担。</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三、货物交货时应当同时附有技术规格、使用说明、质量检验合格证书、保修卡及【/】等相关文件或技术资料，文件或技术资料应当清晰、正确和完整。</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四、甲方要求变更交货地点、交货时间的，应提前【7】日通知乙方，乙方应当予以同意。</w:t>
      </w:r>
    </w:p>
    <w:p>
      <w:pPr>
        <w:adjustRightInd w:val="0"/>
        <w:snapToGrid w:val="0"/>
        <w:spacing w:line="288" w:lineRule="auto"/>
        <w:ind w:firstLine="420" w:firstLineChars="200"/>
        <w:rPr>
          <w:rFonts w:ascii="宋体" w:hAnsi="宋体" w:eastAsia="宋体" w:cs="仿宋"/>
          <w:color w:val="FF0000"/>
          <w:szCs w:val="21"/>
        </w:rPr>
      </w:pPr>
      <w:r>
        <w:rPr>
          <w:rFonts w:hint="eastAsia" w:ascii="宋体" w:hAnsi="宋体" w:eastAsia="宋体" w:cs="仿宋"/>
          <w:szCs w:val="21"/>
        </w:rPr>
        <w:t>五、乙方应当在货物运至约定交货地点前【7】日通知甲方，以便甲方做好接收准备。货物运至约定交货地点后【7】日内甲方对货物进行接收。接收时甲方有权对乙方所交货物的外包装完好程度、产品品牌、型号、数量、产地或生产厂商等是否符合本合同约定进行到货初验。乙方交付的货物存在损坏或短缺，或货物品牌、型号、配置等不符合约定的，甲方有权拒绝接收相应货物且乙方应按本合同约定承担违约责任。对于被拒绝接收的货物，可暂时存放甲方处，但货物毁损、灭失的风险由乙方承担。初验后应由甲方根据初验结果签署到货证明，到货证明仅作为提交验收的材料，最终验收结果以甲方组织的终验结论为准。</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六、需要乙方提供安装调试服务的，乙方应在本合同约定项目完成时间前完成全部货物现场安装调试并使之符合验收合格的标准。在安装调试过程中，甲方有权采取适当的方式对乙方货物质量标准、规格型号、具体配置、数量以及安装质量和进度等进行检查。甲方检查时发现乙方所供货物不符合合同约定或者乙方安装调试时造成货物损坏的，甲方有权要求乙方无条件换货或退货，乙方不同意换货或退货的，甲方有权单方解除合同，乙方应按本合同约定承担违约责任。</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七、若乙方并非原厂商、而本合同约定安装调试服务提供方为原厂商的，则乙方有义务联系、安排、督促、要求原厂商按照本条约定履行安装调试服务义务。原厂商未按照本合同约定履行安装调试服务义务的，视为乙方未履行义务，甲方有权按照本合同“违约责任”条款的约定要求乙方承担相应违约责任。</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八、甲方为安装调试提供工作场地、电源等条件，货物安装调试所需的耗材应由乙方提供，乙方在安装调试过程中应当遵守甲方工作场所的工作纪律及相关管理规定。</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九、在货物的安装及调试过程中，乙方或其聘请的雇员遭受人身损害，或乙方或其聘请的雇员令甲方或第三方遭受人身损害或财产损失，由此引起的一切法律责任由乙方全部承担。若甲方因此为乙方垫付任何款项，甲方有权要求乙方据实立即支付，且有权从应付乙方的价款中将上述款项自行扣除。</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十、其他要求：【/】。</w:t>
      </w:r>
    </w:p>
    <w:p>
      <w:pPr>
        <w:adjustRightInd w:val="0"/>
        <w:snapToGrid w:val="0"/>
        <w:spacing w:line="288" w:lineRule="auto"/>
        <w:ind w:firstLine="422" w:firstLineChars="200"/>
        <w:rPr>
          <w:rFonts w:ascii="宋体" w:hAnsi="宋体" w:eastAsia="宋体" w:cs="仿宋"/>
          <w:b/>
          <w:szCs w:val="21"/>
        </w:rPr>
      </w:pPr>
      <w:r>
        <w:rPr>
          <w:rFonts w:hint="eastAsia" w:ascii="宋体" w:hAnsi="宋体" w:eastAsia="宋体" w:cs="仿宋"/>
          <w:b/>
          <w:szCs w:val="21"/>
        </w:rPr>
        <w:t>第六条 验收</w:t>
      </w:r>
    </w:p>
    <w:p>
      <w:pPr>
        <w:spacing w:line="288" w:lineRule="auto"/>
        <w:ind w:firstLine="420" w:firstLineChars="200"/>
        <w:rPr>
          <w:rFonts w:ascii="宋体" w:hAnsi="宋体" w:eastAsia="宋体" w:cs="仿宋"/>
          <w:szCs w:val="21"/>
        </w:rPr>
      </w:pPr>
      <w:r>
        <w:rPr>
          <w:rFonts w:hint="eastAsia" w:ascii="宋体" w:hAnsi="宋体" w:eastAsia="宋体" w:cs="仿宋"/>
          <w:szCs w:val="21"/>
        </w:rPr>
        <w:t>一、验收流程：乙方凭甲方签署的到货证明向甲方申请验收，甲方根据乙方到货证明、申请审核通过后的验收材料组织终验，并出具验收结论。</w:t>
      </w:r>
    </w:p>
    <w:p>
      <w:pPr>
        <w:spacing w:line="288" w:lineRule="auto"/>
        <w:ind w:firstLine="420" w:firstLineChars="200"/>
        <w:rPr>
          <w:rFonts w:ascii="宋体" w:hAnsi="宋体" w:eastAsia="宋体" w:cs="仿宋"/>
          <w:szCs w:val="21"/>
        </w:rPr>
      </w:pPr>
      <w:r>
        <w:rPr>
          <w:rFonts w:hint="eastAsia" w:ascii="宋体" w:hAnsi="宋体" w:eastAsia="宋体" w:cs="仿宋"/>
          <w:szCs w:val="21"/>
        </w:rPr>
        <w:t>二、验收标准：按本合同采购标的、价格及货物质量标准的约定进行验收。</w:t>
      </w:r>
    </w:p>
    <w:p>
      <w:pPr>
        <w:spacing w:line="288" w:lineRule="auto"/>
        <w:ind w:firstLine="420" w:firstLineChars="200"/>
        <w:rPr>
          <w:rFonts w:ascii="宋体" w:hAnsi="宋体" w:eastAsia="宋体" w:cs="仿宋"/>
          <w:szCs w:val="21"/>
        </w:rPr>
      </w:pPr>
      <w:r>
        <w:rPr>
          <w:rFonts w:hint="eastAsia" w:ascii="宋体" w:hAnsi="宋体" w:eastAsia="宋体" w:cs="仿宋"/>
          <w:szCs w:val="21"/>
        </w:rPr>
        <w:t>三、验收时间：乙方完成本合同第五条约定的安装调试及其他服务工作后，应当在【7】日内做好验收的必要准备并向甲方发出可以进行验收的书面通知。甲方自收到可以进行验收的通知之日起【30】日内开始验收。双方书面另行约定其他验收时间的，按约定时间进行验收。</w:t>
      </w:r>
    </w:p>
    <w:p>
      <w:pPr>
        <w:spacing w:line="288" w:lineRule="auto"/>
        <w:ind w:firstLine="420" w:firstLineChars="200"/>
        <w:rPr>
          <w:rFonts w:ascii="宋体" w:hAnsi="宋体" w:eastAsia="宋体" w:cs="仿宋"/>
          <w:szCs w:val="21"/>
        </w:rPr>
      </w:pPr>
      <w:r>
        <w:rPr>
          <w:rFonts w:hint="eastAsia" w:ascii="宋体" w:hAnsi="宋体" w:eastAsia="宋体" w:cs="仿宋"/>
          <w:szCs w:val="21"/>
        </w:rPr>
        <w:t>四、验收范围包括但不限于：1、型号规格、数量、外观；2、出厂合格证、说明书等约定应交付的证书、资料；3、设备组件及所附技术资料；4、设备功能、性能等参数指标；5、【/】。</w:t>
      </w:r>
    </w:p>
    <w:p>
      <w:pPr>
        <w:spacing w:line="288" w:lineRule="auto"/>
        <w:ind w:firstLine="420" w:firstLineChars="200"/>
        <w:rPr>
          <w:rFonts w:ascii="宋体" w:hAnsi="宋体" w:eastAsia="宋体" w:cs="仿宋"/>
          <w:szCs w:val="21"/>
        </w:rPr>
      </w:pPr>
      <w:r>
        <w:rPr>
          <w:rFonts w:hint="eastAsia" w:ascii="宋体" w:hAnsi="宋体" w:eastAsia="宋体" w:cs="仿宋"/>
          <w:szCs w:val="21"/>
        </w:rPr>
        <w:t>五、验收合格的确认：验收合格后甲方签署验收合格证明，此时乙方完成合同交付义务。如验收不合格，乙方应当立即采取措施纠正不符之处，并与甲方协商约定新的验收时间进行验收（简称“重新提交验收”）。若因重新提交验收而超出本合同确定的项目完成时间的，视为乙方未完成合同义务，乙方应承担逾期交付违约责任。</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六、</w:t>
      </w:r>
      <w:r>
        <w:rPr>
          <w:rFonts w:ascii="宋体" w:hAnsi="宋体" w:eastAsia="宋体" w:cs="仿宋"/>
          <w:szCs w:val="21"/>
        </w:rPr>
        <w:t>如</w:t>
      </w:r>
      <w:r>
        <w:rPr>
          <w:rFonts w:hint="eastAsia" w:ascii="宋体" w:hAnsi="宋体" w:eastAsia="宋体" w:cs="仿宋"/>
          <w:szCs w:val="21"/>
        </w:rPr>
        <w:t>甲方</w:t>
      </w:r>
      <w:r>
        <w:rPr>
          <w:rFonts w:ascii="宋体" w:hAnsi="宋体" w:eastAsia="宋体" w:cs="仿宋"/>
          <w:szCs w:val="21"/>
        </w:rPr>
        <w:t>认为货物质量</w:t>
      </w:r>
      <w:r>
        <w:rPr>
          <w:rFonts w:hint="eastAsia" w:ascii="宋体" w:hAnsi="宋体" w:eastAsia="宋体" w:cs="仿宋"/>
          <w:szCs w:val="21"/>
        </w:rPr>
        <w:t>、</w:t>
      </w:r>
      <w:r>
        <w:rPr>
          <w:rFonts w:ascii="宋体" w:hAnsi="宋体" w:eastAsia="宋体" w:cs="仿宋"/>
          <w:szCs w:val="21"/>
        </w:rPr>
        <w:t>品质等不符合本合同约定，甲方</w:t>
      </w:r>
      <w:r>
        <w:rPr>
          <w:rFonts w:hint="eastAsia" w:ascii="宋体" w:hAnsi="宋体" w:eastAsia="宋体" w:cs="仿宋"/>
          <w:szCs w:val="21"/>
        </w:rPr>
        <w:t>有权对乙方提供的货物进行检验。</w:t>
      </w:r>
      <w:r>
        <w:rPr>
          <w:rFonts w:ascii="宋体" w:hAnsi="宋体" w:eastAsia="宋体" w:cs="仿宋"/>
          <w:szCs w:val="21"/>
        </w:rPr>
        <w:t>在此期间，甲方有权暂时停止按照合同约定向乙方支付相应部分/全部获取的货款。</w:t>
      </w:r>
      <w:r>
        <w:rPr>
          <w:rFonts w:hint="eastAsia" w:ascii="宋体" w:hAnsi="宋体" w:eastAsia="宋体" w:cs="仿宋"/>
          <w:szCs w:val="21"/>
        </w:rPr>
        <w:t>如果检测结果符合产品有关标准及甲方要求，检测费用由甲方</w:t>
      </w:r>
      <w:r>
        <w:rPr>
          <w:rFonts w:ascii="宋体" w:hAnsi="宋体" w:eastAsia="宋体" w:cs="仿宋"/>
          <w:szCs w:val="21"/>
        </w:rPr>
        <w:t>自行</w:t>
      </w:r>
      <w:r>
        <w:rPr>
          <w:rFonts w:hint="eastAsia" w:ascii="宋体" w:hAnsi="宋体" w:eastAsia="宋体" w:cs="仿宋"/>
          <w:szCs w:val="21"/>
        </w:rPr>
        <w:t>承担。如果检测结果</w:t>
      </w:r>
      <w:r>
        <w:rPr>
          <w:rFonts w:ascii="宋体" w:hAnsi="宋体" w:eastAsia="宋体" w:cs="仿宋"/>
          <w:szCs w:val="21"/>
        </w:rPr>
        <w:t>未能</w:t>
      </w:r>
      <w:r>
        <w:rPr>
          <w:rFonts w:hint="eastAsia" w:ascii="宋体" w:hAnsi="宋体" w:eastAsia="宋体" w:cs="仿宋"/>
          <w:szCs w:val="21"/>
        </w:rPr>
        <w:t>达到产品有关标准及甲方要求，</w:t>
      </w:r>
      <w:r>
        <w:rPr>
          <w:rFonts w:ascii="宋体" w:hAnsi="宋体" w:eastAsia="宋体" w:cs="仿宋"/>
          <w:szCs w:val="21"/>
        </w:rPr>
        <w:t>应由</w:t>
      </w:r>
      <w:r>
        <w:rPr>
          <w:rFonts w:hint="eastAsia" w:ascii="宋体" w:hAnsi="宋体" w:eastAsia="宋体" w:cs="仿宋"/>
          <w:szCs w:val="21"/>
        </w:rPr>
        <w:t>乙方</w:t>
      </w:r>
      <w:r>
        <w:rPr>
          <w:rFonts w:ascii="宋体" w:hAnsi="宋体" w:eastAsia="宋体" w:cs="仿宋"/>
          <w:szCs w:val="21"/>
        </w:rPr>
        <w:t>偿付甲方已垫付的检验费用</w:t>
      </w:r>
      <w:r>
        <w:rPr>
          <w:rFonts w:hint="eastAsia" w:ascii="宋体" w:hAnsi="宋体" w:eastAsia="宋体" w:cs="仿宋"/>
          <w:szCs w:val="21"/>
        </w:rPr>
        <w:t>，且乙方</w:t>
      </w:r>
      <w:r>
        <w:rPr>
          <w:rFonts w:ascii="宋体" w:hAnsi="宋体" w:eastAsia="宋体" w:cs="仿宋"/>
          <w:szCs w:val="21"/>
        </w:rPr>
        <w:t>应</w:t>
      </w:r>
      <w:r>
        <w:rPr>
          <w:rFonts w:hint="eastAsia" w:ascii="宋体" w:hAnsi="宋体" w:eastAsia="宋体" w:cs="仿宋"/>
          <w:szCs w:val="21"/>
        </w:rPr>
        <w:t>重新更换符合</w:t>
      </w:r>
      <w:r>
        <w:rPr>
          <w:rFonts w:ascii="宋体" w:hAnsi="宋体" w:eastAsia="宋体" w:cs="仿宋"/>
          <w:szCs w:val="21"/>
        </w:rPr>
        <w:t>合同规定质量</w:t>
      </w:r>
      <w:r>
        <w:rPr>
          <w:rFonts w:hint="eastAsia" w:ascii="宋体" w:hAnsi="宋体" w:eastAsia="宋体" w:cs="仿宋"/>
          <w:szCs w:val="21"/>
        </w:rPr>
        <w:t>要求的产品；乙方应接受甲方或其代表对产品的质量检验，服从甲方或其代表在产品制造期间的质量监督。</w:t>
      </w:r>
    </w:p>
    <w:p>
      <w:pPr>
        <w:adjustRightInd w:val="0"/>
        <w:snapToGrid w:val="0"/>
        <w:spacing w:line="288" w:lineRule="auto"/>
        <w:ind w:firstLine="422" w:firstLineChars="200"/>
        <w:rPr>
          <w:rFonts w:ascii="宋体" w:hAnsi="宋体" w:eastAsia="宋体" w:cs="仿宋"/>
          <w:szCs w:val="21"/>
        </w:rPr>
      </w:pPr>
      <w:r>
        <w:rPr>
          <w:rFonts w:hint="eastAsia" w:ascii="宋体" w:hAnsi="宋体" w:eastAsia="宋体" w:cs="仿宋"/>
          <w:b/>
          <w:szCs w:val="21"/>
        </w:rPr>
        <w:t>第七条 付款方式</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甲乙双方之间发生的本合同项下的一切价款、费用、金额均以人民币（币种）结算及支付。在乙方无任何违约行为的前提下，甲方应按照下列第【   】项约定向乙方支付款项：</w:t>
      </w:r>
    </w:p>
    <w:p>
      <w:pPr>
        <w:pStyle w:val="10"/>
        <w:spacing w:line="288" w:lineRule="auto"/>
        <w:ind w:firstLine="420"/>
        <w:rPr>
          <w:rFonts w:ascii="宋体" w:hAnsi="宋体" w:cs="仿宋"/>
          <w:color w:val="FF0000"/>
          <w:sz w:val="21"/>
          <w:szCs w:val="21"/>
        </w:rPr>
      </w:pPr>
      <w:r>
        <w:rPr>
          <w:rFonts w:hint="eastAsia" w:ascii="宋体" w:hAnsi="宋体" w:cs="仿宋"/>
          <w:color w:val="000000"/>
          <w:sz w:val="21"/>
          <w:szCs w:val="21"/>
        </w:rPr>
        <w:t>一、向乙方一次性支付合同款：</w:t>
      </w:r>
      <w:r>
        <w:rPr>
          <w:rFonts w:hint="eastAsia" w:ascii="宋体" w:hAnsi="宋体" w:cs="仿宋"/>
          <w:color w:val="FF0000"/>
          <w:sz w:val="21"/>
          <w:szCs w:val="21"/>
        </w:rPr>
        <w:t>（非政府采购项目）</w:t>
      </w:r>
    </w:p>
    <w:p>
      <w:pPr>
        <w:pStyle w:val="10"/>
        <w:spacing w:line="288" w:lineRule="auto"/>
        <w:ind w:firstLine="420"/>
        <w:rPr>
          <w:rFonts w:ascii="宋体" w:hAnsi="宋体" w:cs="仿宋"/>
          <w:sz w:val="21"/>
          <w:szCs w:val="21"/>
        </w:rPr>
      </w:pPr>
      <w:r>
        <w:rPr>
          <w:rFonts w:hint="eastAsia" w:ascii="宋体" w:hAnsi="宋体" w:cs="仿宋"/>
          <w:sz w:val="21"/>
          <w:szCs w:val="21"/>
        </w:rPr>
        <w:t>货物自乙方送达甲方指定地点，安装调试完毕，经甲方验收合格并正常运行二十个工作日内，在收到乙方开具的正规发票后，甲方在7个工作日内向乙方支付合同总额100%的货款，</w:t>
      </w:r>
      <w:r>
        <w:rPr>
          <w:rFonts w:ascii="宋体" w:hAnsi="宋体" w:cs="仿宋"/>
          <w:sz w:val="21"/>
          <w:szCs w:val="21"/>
        </w:rPr>
        <w:t>即￥</w:t>
      </w:r>
      <w:r>
        <w:rPr>
          <w:rFonts w:hint="eastAsia" w:ascii="宋体" w:hAnsi="宋体" w:cs="仿宋"/>
          <w:sz w:val="21"/>
          <w:szCs w:val="21"/>
        </w:rPr>
        <w:t>XXXX元</w:t>
      </w:r>
      <w:r>
        <w:rPr>
          <w:rFonts w:ascii="宋体" w:hAnsi="宋体" w:cs="仿宋"/>
          <w:sz w:val="21"/>
          <w:szCs w:val="21"/>
        </w:rPr>
        <w:t>（大写：</w:t>
      </w:r>
      <w:r>
        <w:rPr>
          <w:rFonts w:hint="eastAsia" w:ascii="宋体" w:hAnsi="宋体" w:cs="仿宋"/>
          <w:sz w:val="21"/>
          <w:szCs w:val="21"/>
        </w:rPr>
        <w:t>人民币XXXX元整</w:t>
      </w:r>
      <w:r>
        <w:rPr>
          <w:rFonts w:ascii="宋体" w:hAnsi="宋体" w:cs="仿宋"/>
          <w:sz w:val="21"/>
          <w:szCs w:val="21"/>
        </w:rPr>
        <w:t>）</w:t>
      </w:r>
      <w:r>
        <w:rPr>
          <w:rFonts w:hint="eastAsia" w:ascii="宋体" w:hAnsi="宋体" w:cs="仿宋"/>
          <w:sz w:val="21"/>
          <w:szCs w:val="21"/>
        </w:rPr>
        <w:t>。</w:t>
      </w:r>
    </w:p>
    <w:p>
      <w:pPr>
        <w:adjustRightInd w:val="0"/>
        <w:snapToGrid w:val="0"/>
        <w:spacing w:line="288" w:lineRule="auto"/>
        <w:ind w:firstLine="420" w:firstLineChars="200"/>
        <w:rPr>
          <w:rFonts w:ascii="宋体" w:hAnsi="宋体" w:eastAsia="宋体" w:cs="仿宋"/>
          <w:color w:val="FF0000"/>
          <w:szCs w:val="21"/>
        </w:rPr>
      </w:pPr>
      <w:r>
        <w:rPr>
          <w:rFonts w:hint="eastAsia" w:ascii="宋体" w:hAnsi="宋体" w:eastAsia="宋体" w:cs="仿宋"/>
          <w:color w:val="000000"/>
          <w:szCs w:val="21"/>
        </w:rPr>
        <w:t>二、向乙方分两阶段支付合同款：</w:t>
      </w:r>
      <w:r>
        <w:rPr>
          <w:rFonts w:hint="eastAsia" w:ascii="宋体" w:hAnsi="宋体" w:eastAsia="宋体" w:cs="仿宋"/>
          <w:color w:val="FF0000"/>
          <w:szCs w:val="21"/>
        </w:rPr>
        <w:t>（政府采购项目，50万及以下适用）</w:t>
      </w:r>
    </w:p>
    <w:p>
      <w:pPr>
        <w:spacing w:line="288" w:lineRule="auto"/>
        <w:ind w:firstLine="480"/>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本项目预付款</w:t>
      </w:r>
      <w:r>
        <w:rPr>
          <w:rFonts w:hint="eastAsia" w:ascii="宋体" w:hAnsi="宋体" w:eastAsia="宋体" w:cs="仿宋"/>
          <w:szCs w:val="21"/>
        </w:rPr>
        <w:t>40%（制造商为大型企业的项目无预付款），</w:t>
      </w:r>
      <w:r>
        <w:rPr>
          <w:rFonts w:ascii="宋体" w:hAnsi="宋体" w:eastAsia="宋体" w:cs="仿宋"/>
          <w:szCs w:val="21"/>
        </w:rPr>
        <w:t>即￥</w:t>
      </w:r>
      <w:r>
        <w:rPr>
          <w:rFonts w:hint="eastAsia" w:ascii="宋体" w:hAnsi="宋体" w:eastAsia="宋体" w:cs="仿宋"/>
          <w:szCs w:val="21"/>
        </w:rPr>
        <w:t>XXXX元</w:t>
      </w:r>
      <w:r>
        <w:rPr>
          <w:rFonts w:ascii="宋体" w:hAnsi="宋体" w:eastAsia="宋体" w:cs="仿宋"/>
          <w:szCs w:val="21"/>
        </w:rPr>
        <w:t>（大写：</w:t>
      </w:r>
      <w:r>
        <w:rPr>
          <w:rFonts w:hint="eastAsia" w:ascii="宋体" w:hAnsi="宋体" w:eastAsia="宋体" w:cs="仿宋"/>
          <w:szCs w:val="21"/>
        </w:rPr>
        <w:t>人民币XXXX元整</w:t>
      </w:r>
      <w:r>
        <w:rPr>
          <w:rFonts w:ascii="宋体" w:hAnsi="宋体" w:eastAsia="宋体" w:cs="仿宋"/>
          <w:szCs w:val="21"/>
        </w:rPr>
        <w:t>）</w:t>
      </w:r>
      <w:r>
        <w:rPr>
          <w:rFonts w:hint="eastAsia" w:ascii="宋体" w:hAnsi="宋体" w:eastAsia="宋体" w:cs="仿宋"/>
          <w:szCs w:val="21"/>
        </w:rPr>
        <w:t>，在收到乙方提供的预付款保函且项目具备实施条件后7个工作日内支付；</w:t>
      </w:r>
    </w:p>
    <w:p>
      <w:pPr>
        <w:pStyle w:val="13"/>
        <w:spacing w:before="120" w:after="120" w:line="288" w:lineRule="auto"/>
        <w:ind w:firstLine="420" w:firstLineChars="200"/>
        <w:jc w:val="left"/>
        <w:rPr>
          <w:rFonts w:hAnsi="宋体" w:eastAsia="宋体" w:cs="仿宋"/>
          <w:sz w:val="21"/>
          <w:szCs w:val="21"/>
        </w:rPr>
      </w:pPr>
      <w:r>
        <w:rPr>
          <w:rFonts w:hint="eastAsia" w:hAnsi="宋体" w:eastAsia="宋体" w:cs="仿宋"/>
          <w:sz w:val="21"/>
          <w:szCs w:val="21"/>
        </w:rPr>
        <w:t>2.</w:t>
      </w:r>
      <w:r>
        <w:rPr>
          <w:rFonts w:hAnsi="宋体" w:eastAsia="宋体" w:cs="仿宋"/>
          <w:sz w:val="21"/>
          <w:szCs w:val="21"/>
        </w:rPr>
        <w:t>货物自乙方送达甲方指定地点，安装调试完毕，经甲方验收合格并正常运行</w:t>
      </w:r>
      <w:r>
        <w:rPr>
          <w:rFonts w:hint="eastAsia" w:hAnsi="宋体" w:eastAsia="宋体" w:cs="仿宋"/>
          <w:sz w:val="21"/>
          <w:szCs w:val="21"/>
        </w:rPr>
        <w:t>二十个工作日内，</w:t>
      </w:r>
      <w:r>
        <w:rPr>
          <w:rFonts w:hAnsi="宋体" w:eastAsia="宋体" w:cs="仿宋"/>
          <w:sz w:val="21"/>
          <w:szCs w:val="21"/>
        </w:rPr>
        <w:t>在收到乙方开具的正规发票</w:t>
      </w:r>
      <w:r>
        <w:rPr>
          <w:rFonts w:hint="eastAsia" w:hAnsi="宋体" w:eastAsia="宋体" w:cs="仿宋"/>
          <w:sz w:val="21"/>
          <w:szCs w:val="21"/>
        </w:rPr>
        <w:t>后，甲方在7个工作日内向乙方</w:t>
      </w:r>
      <w:r>
        <w:rPr>
          <w:rFonts w:hAnsi="宋体" w:eastAsia="宋体" w:cs="仿宋"/>
          <w:sz w:val="21"/>
          <w:szCs w:val="21"/>
        </w:rPr>
        <w:t>支付合同总额</w:t>
      </w:r>
      <w:r>
        <w:rPr>
          <w:rFonts w:hint="eastAsia" w:hAnsi="宋体" w:eastAsia="宋体" w:cs="仿宋"/>
          <w:sz w:val="21"/>
          <w:szCs w:val="21"/>
        </w:rPr>
        <w:t>60</w:t>
      </w:r>
      <w:r>
        <w:rPr>
          <w:rFonts w:hAnsi="宋体" w:eastAsia="宋体" w:cs="仿宋"/>
          <w:sz w:val="21"/>
          <w:szCs w:val="21"/>
        </w:rPr>
        <w:t>%</w:t>
      </w:r>
      <w:r>
        <w:rPr>
          <w:rFonts w:hint="eastAsia" w:hAnsi="宋体" w:eastAsia="宋体" w:cs="仿宋"/>
          <w:sz w:val="21"/>
          <w:szCs w:val="21"/>
        </w:rPr>
        <w:t>（制造商为大型企业的项目100%）的</w:t>
      </w:r>
      <w:r>
        <w:rPr>
          <w:rFonts w:hAnsi="宋体" w:eastAsia="宋体" w:cs="仿宋"/>
          <w:sz w:val="21"/>
          <w:szCs w:val="21"/>
        </w:rPr>
        <w:t>货款，即￥</w:t>
      </w:r>
      <w:r>
        <w:rPr>
          <w:rFonts w:hint="eastAsia" w:hAnsi="宋体" w:eastAsia="宋体" w:cs="仿宋"/>
          <w:sz w:val="21"/>
          <w:szCs w:val="21"/>
        </w:rPr>
        <w:t>XXXX元</w:t>
      </w:r>
      <w:r>
        <w:rPr>
          <w:rFonts w:hAnsi="宋体" w:eastAsia="宋体" w:cs="仿宋"/>
          <w:sz w:val="21"/>
          <w:szCs w:val="21"/>
        </w:rPr>
        <w:t>（大写：</w:t>
      </w:r>
      <w:r>
        <w:rPr>
          <w:rFonts w:hint="eastAsia" w:hAnsi="宋体" w:eastAsia="宋体" w:cs="仿宋"/>
          <w:sz w:val="21"/>
          <w:szCs w:val="21"/>
        </w:rPr>
        <w:t>人民币XXXX元整</w:t>
      </w:r>
      <w:r>
        <w:rPr>
          <w:rFonts w:hAnsi="宋体" w:eastAsia="宋体" w:cs="仿宋"/>
          <w:sz w:val="21"/>
          <w:szCs w:val="21"/>
        </w:rPr>
        <w:t>）</w:t>
      </w:r>
      <w:r>
        <w:rPr>
          <w:rFonts w:hint="eastAsia" w:hAnsi="宋体" w:eastAsia="宋体" w:cs="仿宋"/>
          <w:sz w:val="21"/>
          <w:szCs w:val="21"/>
        </w:rPr>
        <w:t>。</w:t>
      </w:r>
    </w:p>
    <w:p>
      <w:pPr>
        <w:adjustRightInd w:val="0"/>
        <w:snapToGrid w:val="0"/>
        <w:spacing w:line="288" w:lineRule="auto"/>
        <w:ind w:firstLine="420" w:firstLineChars="200"/>
        <w:rPr>
          <w:rFonts w:ascii="宋体" w:hAnsi="宋体" w:eastAsia="宋体" w:cs="仿宋"/>
          <w:color w:val="FF0000"/>
          <w:szCs w:val="21"/>
        </w:rPr>
      </w:pPr>
      <w:r>
        <w:rPr>
          <w:rFonts w:hint="eastAsia" w:ascii="宋体" w:hAnsi="宋体" w:eastAsia="宋体" w:cs="仿宋"/>
          <w:color w:val="000000"/>
          <w:szCs w:val="21"/>
        </w:rPr>
        <w:t>三、向乙方分三阶段支付合同款：</w:t>
      </w:r>
      <w:r>
        <w:rPr>
          <w:rFonts w:hint="eastAsia" w:ascii="宋体" w:hAnsi="宋体" w:eastAsia="宋体" w:cs="仿宋"/>
          <w:color w:val="FF0000"/>
          <w:szCs w:val="21"/>
        </w:rPr>
        <w:t>（政府采购项目，50万以上适用）</w:t>
      </w:r>
    </w:p>
    <w:p>
      <w:pPr>
        <w:spacing w:line="288" w:lineRule="auto"/>
        <w:ind w:firstLine="480"/>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本项目预付款</w:t>
      </w:r>
      <w:r>
        <w:rPr>
          <w:rFonts w:hint="eastAsia" w:ascii="宋体" w:hAnsi="宋体" w:eastAsia="宋体" w:cs="仿宋"/>
          <w:szCs w:val="21"/>
        </w:rPr>
        <w:t>40%（制造商为大型企业的项目无预付款），</w:t>
      </w:r>
      <w:r>
        <w:rPr>
          <w:rFonts w:ascii="宋体" w:hAnsi="宋体" w:eastAsia="宋体" w:cs="仿宋"/>
          <w:szCs w:val="21"/>
        </w:rPr>
        <w:t>即￥</w:t>
      </w:r>
      <w:r>
        <w:rPr>
          <w:rFonts w:hint="eastAsia" w:ascii="宋体" w:hAnsi="宋体" w:eastAsia="宋体" w:cs="仿宋"/>
          <w:szCs w:val="21"/>
        </w:rPr>
        <w:t>XXXX元</w:t>
      </w:r>
      <w:r>
        <w:rPr>
          <w:rFonts w:ascii="宋体" w:hAnsi="宋体" w:eastAsia="宋体" w:cs="仿宋"/>
          <w:szCs w:val="21"/>
        </w:rPr>
        <w:t>（大写：</w:t>
      </w:r>
      <w:r>
        <w:rPr>
          <w:rFonts w:hint="eastAsia" w:ascii="宋体" w:hAnsi="宋体" w:eastAsia="宋体" w:cs="仿宋"/>
          <w:szCs w:val="21"/>
        </w:rPr>
        <w:t>人民币XXXX元整</w:t>
      </w:r>
      <w:r>
        <w:rPr>
          <w:rFonts w:ascii="宋体" w:hAnsi="宋体" w:eastAsia="宋体" w:cs="仿宋"/>
          <w:szCs w:val="21"/>
        </w:rPr>
        <w:t>）</w:t>
      </w:r>
      <w:r>
        <w:rPr>
          <w:rFonts w:hint="eastAsia" w:ascii="宋体" w:hAnsi="宋体" w:eastAsia="宋体" w:cs="仿宋"/>
          <w:szCs w:val="21"/>
        </w:rPr>
        <w:t>，在收到乙方提供的预付款保函且项目具备实施条件后7个工作日内支付；</w:t>
      </w:r>
    </w:p>
    <w:p>
      <w:pPr>
        <w:spacing w:line="288" w:lineRule="auto"/>
        <w:ind w:firstLine="480"/>
        <w:rPr>
          <w:rFonts w:ascii="宋体" w:hAnsi="宋体" w:eastAsia="宋体" w:cs="仿宋"/>
          <w:szCs w:val="21"/>
        </w:rPr>
      </w:pPr>
      <w:r>
        <w:rPr>
          <w:rFonts w:hint="eastAsia" w:ascii="宋体" w:hAnsi="宋体" w:eastAsia="宋体" w:cs="仿宋"/>
          <w:szCs w:val="21"/>
        </w:rPr>
        <w:t>2.</w:t>
      </w:r>
      <w:r>
        <w:rPr>
          <w:rFonts w:ascii="宋体" w:hAnsi="宋体" w:eastAsia="宋体" w:cs="仿宋"/>
          <w:szCs w:val="21"/>
        </w:rPr>
        <w:t>货物自乙方送达甲方指定地点，安装调试完毕，经甲方验收合格并正常运行</w:t>
      </w:r>
      <w:r>
        <w:rPr>
          <w:rFonts w:hint="eastAsia" w:ascii="宋体" w:hAnsi="宋体" w:eastAsia="宋体" w:cs="仿宋"/>
          <w:szCs w:val="21"/>
        </w:rPr>
        <w:t>二十个工作日内，</w:t>
      </w:r>
      <w:r>
        <w:rPr>
          <w:rFonts w:ascii="宋体" w:hAnsi="宋体" w:eastAsia="宋体" w:cs="仿宋"/>
          <w:szCs w:val="21"/>
        </w:rPr>
        <w:t>在收到乙方开具的正规发票</w:t>
      </w:r>
      <w:r>
        <w:rPr>
          <w:rFonts w:hint="eastAsia" w:ascii="宋体" w:hAnsi="宋体" w:eastAsia="宋体" w:cs="仿宋"/>
          <w:szCs w:val="21"/>
        </w:rPr>
        <w:t>后，甲方在7个工作日内向乙方</w:t>
      </w:r>
      <w:r>
        <w:rPr>
          <w:rFonts w:ascii="宋体" w:hAnsi="宋体" w:eastAsia="宋体" w:cs="仿宋"/>
          <w:szCs w:val="21"/>
        </w:rPr>
        <w:t>支付合同总额</w:t>
      </w:r>
      <w:r>
        <w:rPr>
          <w:rFonts w:hint="eastAsia" w:ascii="宋体" w:hAnsi="宋体" w:eastAsia="宋体" w:cs="仿宋"/>
          <w:szCs w:val="21"/>
        </w:rPr>
        <w:t>5</w:t>
      </w:r>
      <w:r>
        <w:rPr>
          <w:rFonts w:ascii="宋体" w:hAnsi="宋体" w:eastAsia="宋体" w:cs="仿宋"/>
          <w:szCs w:val="21"/>
        </w:rPr>
        <w:t>5%</w:t>
      </w:r>
      <w:r>
        <w:rPr>
          <w:rFonts w:hint="eastAsia" w:ascii="宋体" w:hAnsi="宋体" w:eastAsia="宋体" w:cs="仿宋"/>
          <w:szCs w:val="21"/>
        </w:rPr>
        <w:t>（制造商为大型企业的项目95%）的</w:t>
      </w:r>
      <w:r>
        <w:rPr>
          <w:rFonts w:ascii="宋体" w:hAnsi="宋体" w:eastAsia="宋体" w:cs="仿宋"/>
          <w:szCs w:val="21"/>
        </w:rPr>
        <w:t>货款，即￥</w:t>
      </w:r>
      <w:r>
        <w:rPr>
          <w:rFonts w:hint="eastAsia" w:ascii="宋体" w:hAnsi="宋体" w:eastAsia="宋体" w:cs="仿宋"/>
          <w:szCs w:val="21"/>
        </w:rPr>
        <w:t>XXXX元</w:t>
      </w:r>
      <w:r>
        <w:rPr>
          <w:rFonts w:ascii="宋体" w:hAnsi="宋体" w:eastAsia="宋体" w:cs="仿宋"/>
          <w:szCs w:val="21"/>
        </w:rPr>
        <w:t>（大写：</w:t>
      </w:r>
      <w:r>
        <w:rPr>
          <w:rFonts w:hint="eastAsia" w:ascii="宋体" w:hAnsi="宋体" w:eastAsia="宋体" w:cs="仿宋"/>
          <w:szCs w:val="21"/>
        </w:rPr>
        <w:t>人民币XXXX元整</w:t>
      </w:r>
      <w:r>
        <w:rPr>
          <w:rFonts w:ascii="宋体" w:hAnsi="宋体" w:eastAsia="宋体" w:cs="仿宋"/>
          <w:szCs w:val="21"/>
        </w:rPr>
        <w:t>）；</w:t>
      </w:r>
    </w:p>
    <w:p>
      <w:pPr>
        <w:pStyle w:val="10"/>
        <w:spacing w:line="288" w:lineRule="auto"/>
        <w:ind w:left="-73" w:leftChars="-35" w:firstLine="420" w:firstLineChars="200"/>
        <w:rPr>
          <w:rFonts w:ascii="宋体" w:hAnsi="宋体" w:cs="仿宋"/>
          <w:sz w:val="21"/>
          <w:szCs w:val="21"/>
        </w:rPr>
      </w:pPr>
      <w:r>
        <w:rPr>
          <w:rFonts w:hint="eastAsia" w:ascii="宋体" w:hAnsi="宋体" w:cs="仿宋"/>
          <w:sz w:val="21"/>
          <w:szCs w:val="21"/>
        </w:rPr>
        <w:t>3.剩余合同总额5%的货款，</w:t>
      </w:r>
      <w:r>
        <w:rPr>
          <w:rFonts w:ascii="宋体" w:hAnsi="宋体" w:cs="仿宋"/>
          <w:sz w:val="21"/>
          <w:szCs w:val="21"/>
        </w:rPr>
        <w:t>即￥</w:t>
      </w:r>
      <w:r>
        <w:rPr>
          <w:rFonts w:hint="eastAsia" w:ascii="宋体" w:hAnsi="宋体" w:cs="仿宋"/>
          <w:sz w:val="21"/>
          <w:szCs w:val="21"/>
        </w:rPr>
        <w:t>XXXX元</w:t>
      </w:r>
      <w:r>
        <w:rPr>
          <w:rFonts w:ascii="宋体" w:hAnsi="宋体" w:cs="仿宋"/>
          <w:sz w:val="21"/>
          <w:szCs w:val="21"/>
        </w:rPr>
        <w:t>（大写：</w:t>
      </w:r>
      <w:r>
        <w:rPr>
          <w:rFonts w:hint="eastAsia" w:ascii="宋体" w:hAnsi="宋体" w:cs="仿宋"/>
          <w:sz w:val="21"/>
          <w:szCs w:val="21"/>
        </w:rPr>
        <w:t>人民币XXXX元整</w:t>
      </w:r>
      <w:r>
        <w:rPr>
          <w:rFonts w:ascii="宋体" w:hAnsi="宋体" w:cs="仿宋"/>
          <w:sz w:val="21"/>
          <w:szCs w:val="21"/>
        </w:rPr>
        <w:t>）</w:t>
      </w:r>
      <w:r>
        <w:rPr>
          <w:rFonts w:hint="eastAsia" w:ascii="宋体" w:hAnsi="宋体" w:cs="仿宋"/>
          <w:sz w:val="21"/>
          <w:szCs w:val="21"/>
        </w:rPr>
        <w:t>，在满足支付条件且收到发票后7个工作日内支付。支付条件：所有产品稳定运行（最长不超过3个月）</w:t>
      </w:r>
      <w:r>
        <w:rPr>
          <w:rFonts w:ascii="宋体" w:hAnsi="宋体" w:cs="仿宋"/>
          <w:sz w:val="21"/>
          <w:szCs w:val="21"/>
        </w:rPr>
        <w:t>。</w:t>
      </w:r>
    </w:p>
    <w:p>
      <w:pPr>
        <w:adjustRightInd w:val="0"/>
        <w:snapToGrid w:val="0"/>
        <w:spacing w:line="288" w:lineRule="auto"/>
        <w:ind w:firstLine="422" w:firstLineChars="200"/>
        <w:rPr>
          <w:rFonts w:ascii="宋体" w:hAnsi="宋体" w:eastAsia="宋体" w:cs="仿宋"/>
          <w:b/>
          <w:szCs w:val="21"/>
        </w:rPr>
      </w:pPr>
      <w:r>
        <w:rPr>
          <w:rFonts w:hint="eastAsia" w:ascii="宋体" w:hAnsi="宋体" w:eastAsia="宋体" w:cs="仿宋"/>
          <w:b/>
          <w:szCs w:val="21"/>
        </w:rPr>
        <w:t>第八条 质保期、售后服务承诺</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一、货物质保期为：【      】（合同另有特别约定的以特别约定为准），该期限自本合同项下的全部货物验收合格之日（对于还需要进行安装调试或集成服务的，应自所有相应服务完成并验收合格之日）起开始计算，质量保证期内如货物出现任何质量问题，甲方有权要求乙方予以无条件维修、更换或退货。若甲方选择维修的，乙方应免费提供配件并现场维修，维修或更换部分的货物和材料的质保期自修复或更换合格之日起重新计算。</w:t>
      </w:r>
    </w:p>
    <w:p>
      <w:pPr>
        <w:snapToGrid w:val="0"/>
        <w:spacing w:line="288" w:lineRule="auto"/>
        <w:ind w:firstLine="420" w:firstLineChars="200"/>
        <w:jc w:val="left"/>
        <w:textAlignment w:val="baseline"/>
        <w:rPr>
          <w:rFonts w:ascii="宋体" w:hAnsi="宋体" w:eastAsia="宋体" w:cs="仿宋"/>
          <w:szCs w:val="21"/>
        </w:rPr>
      </w:pPr>
      <w:r>
        <w:rPr>
          <w:rFonts w:hint="eastAsia" w:ascii="宋体" w:hAnsi="宋体" w:eastAsia="宋体" w:cs="仿宋"/>
          <w:szCs w:val="21"/>
        </w:rPr>
        <w:t>二、其他：【/】。</w:t>
      </w:r>
    </w:p>
    <w:p>
      <w:pPr>
        <w:adjustRightInd w:val="0"/>
        <w:snapToGrid w:val="0"/>
        <w:spacing w:line="288" w:lineRule="auto"/>
        <w:ind w:firstLine="422" w:firstLineChars="200"/>
        <w:rPr>
          <w:rFonts w:ascii="宋体" w:hAnsi="宋体" w:eastAsia="宋体" w:cs="仿宋"/>
          <w:b/>
          <w:szCs w:val="21"/>
        </w:rPr>
      </w:pPr>
      <w:r>
        <w:rPr>
          <w:rFonts w:hint="eastAsia" w:ascii="宋体" w:hAnsi="宋体" w:eastAsia="宋体" w:cs="仿宋"/>
          <w:b/>
          <w:szCs w:val="21"/>
        </w:rPr>
        <w:t>第九条 知识产权</w:t>
      </w:r>
    </w:p>
    <w:p>
      <w:pPr>
        <w:snapToGrid w:val="0"/>
        <w:spacing w:line="288" w:lineRule="auto"/>
        <w:ind w:firstLine="420" w:firstLineChars="200"/>
        <w:jc w:val="left"/>
        <w:textAlignment w:val="baseline"/>
        <w:rPr>
          <w:rFonts w:ascii="宋体" w:hAnsi="宋体" w:eastAsia="宋体" w:cs="仿宋"/>
          <w:szCs w:val="21"/>
        </w:rPr>
      </w:pPr>
      <w:r>
        <w:rPr>
          <w:rFonts w:ascii="宋体" w:hAnsi="宋体" w:eastAsia="宋体" w:cs="仿宋"/>
          <w:szCs w:val="21"/>
        </w:rPr>
        <w:t>一、</w:t>
      </w:r>
      <w:r>
        <w:rPr>
          <w:rFonts w:hint="eastAsia" w:ascii="宋体" w:hAnsi="宋体" w:eastAsia="宋体" w:cs="仿宋"/>
          <w:szCs w:val="21"/>
        </w:rPr>
        <w:t>乙方应保证甲方在使用本合同项下的产品时免受第三方提出的侵犯其知识产权的索赔或诉讼，否则</w:t>
      </w:r>
      <w:r>
        <w:rPr>
          <w:rFonts w:ascii="宋体" w:hAnsi="宋体" w:eastAsia="宋体" w:cs="仿宋"/>
          <w:szCs w:val="21"/>
        </w:rPr>
        <w:t>乙方构成根本性违约</w:t>
      </w:r>
      <w:r>
        <w:rPr>
          <w:rFonts w:hint="eastAsia" w:ascii="宋体" w:hAnsi="宋体" w:eastAsia="宋体" w:cs="仿宋"/>
          <w:szCs w:val="21"/>
        </w:rPr>
        <w:t>。</w:t>
      </w:r>
    </w:p>
    <w:p>
      <w:pPr>
        <w:snapToGrid w:val="0"/>
        <w:spacing w:line="288" w:lineRule="auto"/>
        <w:ind w:firstLine="420" w:firstLineChars="200"/>
        <w:jc w:val="left"/>
        <w:textAlignment w:val="baseline"/>
        <w:rPr>
          <w:rFonts w:ascii="宋体" w:hAnsi="宋体" w:eastAsia="宋体" w:cs="仿宋"/>
          <w:szCs w:val="21"/>
        </w:rPr>
      </w:pPr>
      <w:r>
        <w:rPr>
          <w:rFonts w:ascii="宋体" w:hAnsi="宋体" w:eastAsia="宋体" w:cs="仿宋"/>
          <w:szCs w:val="21"/>
        </w:rPr>
        <w:t>二、</w:t>
      </w:r>
      <w:r>
        <w:rPr>
          <w:rFonts w:hint="eastAsia" w:ascii="宋体" w:hAnsi="宋体" w:eastAsia="宋体" w:cs="仿宋"/>
          <w:szCs w:val="21"/>
        </w:rPr>
        <w:t>乙方保证产品不存在侵犯任何第三方专利权、著作权的情形，否则</w:t>
      </w:r>
      <w:r>
        <w:rPr>
          <w:rFonts w:ascii="宋体" w:hAnsi="宋体" w:eastAsia="宋体" w:cs="仿宋"/>
          <w:szCs w:val="21"/>
        </w:rPr>
        <w:t>乙方构成根本性违约</w:t>
      </w:r>
      <w:r>
        <w:rPr>
          <w:rFonts w:hint="eastAsia" w:ascii="宋体" w:hAnsi="宋体" w:eastAsia="宋体" w:cs="仿宋"/>
          <w:szCs w:val="21"/>
        </w:rPr>
        <w:t>。</w:t>
      </w:r>
    </w:p>
    <w:p>
      <w:pPr>
        <w:adjustRightInd w:val="0"/>
        <w:snapToGrid w:val="0"/>
        <w:spacing w:line="288" w:lineRule="auto"/>
        <w:ind w:firstLine="422" w:firstLineChars="200"/>
        <w:rPr>
          <w:rFonts w:ascii="宋体" w:hAnsi="宋体" w:eastAsia="宋体" w:cs="仿宋"/>
          <w:b/>
          <w:szCs w:val="21"/>
        </w:rPr>
      </w:pPr>
      <w:r>
        <w:rPr>
          <w:rFonts w:hint="eastAsia" w:ascii="宋体" w:hAnsi="宋体" w:eastAsia="宋体" w:cs="仿宋"/>
          <w:b/>
          <w:szCs w:val="21"/>
        </w:rPr>
        <w:t>第十条 违约责任</w:t>
      </w:r>
    </w:p>
    <w:p>
      <w:pPr>
        <w:widowControl/>
        <w:snapToGrid w:val="0"/>
        <w:spacing w:line="288" w:lineRule="auto"/>
        <w:ind w:firstLine="420" w:firstLineChars="200"/>
        <w:jc w:val="left"/>
        <w:textAlignment w:val="baseline"/>
        <w:rPr>
          <w:rFonts w:ascii="宋体" w:hAnsi="宋体" w:eastAsia="宋体" w:cs="仿宋"/>
          <w:szCs w:val="21"/>
        </w:rPr>
      </w:pPr>
      <w:r>
        <w:rPr>
          <w:rFonts w:hint="eastAsia" w:ascii="宋体" w:hAnsi="宋体" w:eastAsia="宋体" w:cs="仿宋"/>
          <w:szCs w:val="21"/>
        </w:rPr>
        <w:t>一、项目逾期</w:t>
      </w:r>
      <w:r>
        <w:rPr>
          <w:rFonts w:ascii="宋体" w:hAnsi="宋体" w:eastAsia="宋体" w:cs="仿宋"/>
          <w:szCs w:val="21"/>
        </w:rPr>
        <w:t>：乙方如</w:t>
      </w:r>
      <w:r>
        <w:rPr>
          <w:rFonts w:hint="eastAsia" w:ascii="宋体" w:hAnsi="宋体" w:eastAsia="宋体" w:cs="仿宋"/>
          <w:szCs w:val="21"/>
        </w:rPr>
        <w:t>逾期</w:t>
      </w:r>
      <w:r>
        <w:rPr>
          <w:rFonts w:ascii="宋体" w:hAnsi="宋体" w:eastAsia="宋体"/>
          <w:szCs w:val="21"/>
        </w:rPr>
        <w:t>履行合同义务</w:t>
      </w:r>
      <w:r>
        <w:rPr>
          <w:rFonts w:hint="eastAsia" w:ascii="宋体" w:hAnsi="宋体" w:eastAsia="宋体" w:cs="仿宋"/>
          <w:szCs w:val="21"/>
        </w:rPr>
        <w:t>，</w:t>
      </w:r>
      <w:r>
        <w:rPr>
          <w:rFonts w:ascii="宋体" w:hAnsi="宋体" w:eastAsia="宋体" w:cs="仿宋"/>
          <w:szCs w:val="21"/>
        </w:rPr>
        <w:t>每迟延一日，应按照</w:t>
      </w:r>
      <w:r>
        <w:rPr>
          <w:rFonts w:hint="eastAsia" w:ascii="宋体" w:hAnsi="宋体" w:eastAsia="宋体" w:cs="仿宋"/>
          <w:szCs w:val="21"/>
        </w:rPr>
        <w:t>合同总价款</w:t>
      </w:r>
      <w:r>
        <w:rPr>
          <w:rFonts w:ascii="宋体" w:hAnsi="宋体" w:eastAsia="宋体" w:cs="仿宋"/>
          <w:szCs w:val="21"/>
        </w:rPr>
        <w:t>万分之五的标准向甲方支付违约金，同时还应承担由此给甲方造成的一切损失和费用</w:t>
      </w:r>
      <w:r>
        <w:rPr>
          <w:rFonts w:hint="eastAsia" w:ascii="宋体" w:hAnsi="宋体" w:eastAsia="宋体" w:cs="仿宋"/>
          <w:szCs w:val="21"/>
        </w:rPr>
        <w:t>；</w:t>
      </w:r>
      <w:r>
        <w:rPr>
          <w:rFonts w:ascii="宋体" w:hAnsi="宋体" w:eastAsia="宋体" w:cs="仿宋"/>
          <w:szCs w:val="21"/>
        </w:rPr>
        <w:t>乙方</w:t>
      </w:r>
      <w:r>
        <w:rPr>
          <w:rFonts w:hint="eastAsia" w:ascii="宋体" w:hAnsi="宋体" w:eastAsia="宋体" w:cs="仿宋"/>
          <w:szCs w:val="21"/>
        </w:rPr>
        <w:t>逾期</w:t>
      </w:r>
      <w:r>
        <w:rPr>
          <w:rFonts w:ascii="宋体" w:hAnsi="宋体" w:eastAsia="宋体"/>
          <w:szCs w:val="21"/>
        </w:rPr>
        <w:t>履行合同义务</w:t>
      </w:r>
      <w:r>
        <w:rPr>
          <w:rFonts w:ascii="宋体" w:hAnsi="宋体" w:eastAsia="宋体" w:cs="仿宋"/>
          <w:szCs w:val="21"/>
        </w:rPr>
        <w:t>【</w:t>
      </w:r>
      <w:r>
        <w:rPr>
          <w:rFonts w:hint="eastAsia" w:ascii="宋体" w:hAnsi="宋体" w:eastAsia="宋体" w:cs="仿宋"/>
          <w:szCs w:val="21"/>
        </w:rPr>
        <w:t>3</w:t>
      </w:r>
      <w:r>
        <w:rPr>
          <w:rFonts w:ascii="宋体" w:hAnsi="宋体" w:eastAsia="宋体" w:cs="仿宋"/>
          <w:szCs w:val="21"/>
        </w:rPr>
        <w:t>0】日以上（含本数），乙方构成根本性违约。</w:t>
      </w:r>
    </w:p>
    <w:p>
      <w:pPr>
        <w:widowControl/>
        <w:shd w:val="clear" w:color="auto" w:fill="FFFFFF"/>
        <w:snapToGrid w:val="0"/>
        <w:spacing w:line="288" w:lineRule="auto"/>
        <w:ind w:firstLine="420" w:firstLineChars="200"/>
        <w:jc w:val="left"/>
        <w:textAlignment w:val="baseline"/>
        <w:rPr>
          <w:rFonts w:ascii="宋体" w:hAnsi="宋体" w:eastAsia="宋体" w:cs="仿宋"/>
          <w:szCs w:val="21"/>
        </w:rPr>
      </w:pPr>
      <w:r>
        <w:rPr>
          <w:rFonts w:hint="eastAsia" w:ascii="宋体" w:hAnsi="宋体" w:eastAsia="宋体" w:cs="仿宋"/>
          <w:szCs w:val="21"/>
        </w:rPr>
        <w:t>二、</w:t>
      </w:r>
      <w:r>
        <w:rPr>
          <w:rFonts w:ascii="宋体" w:hAnsi="宋体" w:eastAsia="宋体" w:cs="仿宋"/>
          <w:szCs w:val="21"/>
        </w:rPr>
        <w:t>品质不符：如出现品质不符，视为根本性违约。</w:t>
      </w:r>
    </w:p>
    <w:p>
      <w:pPr>
        <w:widowControl/>
        <w:shd w:val="clear" w:color="auto" w:fill="FFFFFF"/>
        <w:snapToGrid w:val="0"/>
        <w:spacing w:line="288" w:lineRule="auto"/>
        <w:ind w:firstLine="420" w:firstLineChars="200"/>
        <w:jc w:val="left"/>
        <w:textAlignment w:val="baseline"/>
        <w:rPr>
          <w:rFonts w:ascii="宋体" w:hAnsi="宋体" w:eastAsia="宋体" w:cs="仿宋"/>
          <w:szCs w:val="21"/>
        </w:rPr>
      </w:pPr>
      <w:r>
        <w:rPr>
          <w:rFonts w:hint="eastAsia" w:ascii="宋体" w:hAnsi="宋体" w:eastAsia="宋体" w:cs="仿宋"/>
          <w:szCs w:val="21"/>
        </w:rPr>
        <w:t>三、</w:t>
      </w:r>
      <w:r>
        <w:rPr>
          <w:rFonts w:ascii="宋体" w:hAnsi="宋体" w:eastAsia="宋体" w:cs="仿宋"/>
          <w:szCs w:val="21"/>
        </w:rPr>
        <w:t>包装不符：如货物包装不符合合同约定，</w:t>
      </w:r>
      <w:r>
        <w:rPr>
          <w:rFonts w:hint="eastAsia" w:ascii="宋体" w:hAnsi="宋体" w:eastAsia="宋体" w:cs="仿宋"/>
          <w:szCs w:val="21"/>
        </w:rPr>
        <w:t>甲方有权拒收包装不符的货物，</w:t>
      </w:r>
      <w:r>
        <w:rPr>
          <w:rFonts w:ascii="宋体" w:hAnsi="宋体" w:eastAsia="宋体" w:cs="仿宋"/>
          <w:szCs w:val="21"/>
        </w:rPr>
        <w:t>乙方应</w:t>
      </w:r>
      <w:r>
        <w:rPr>
          <w:rFonts w:hint="eastAsia" w:ascii="宋体" w:hAnsi="宋体" w:eastAsia="宋体" w:cs="仿宋"/>
          <w:szCs w:val="21"/>
        </w:rPr>
        <w:t>立即整改纠正。若乙方重新交付货物而导致原定的交付期限逾期的，</w:t>
      </w:r>
      <w:r>
        <w:rPr>
          <w:rFonts w:ascii="宋体" w:hAnsi="宋体" w:eastAsia="宋体" w:cs="仿宋"/>
          <w:szCs w:val="21"/>
        </w:rPr>
        <w:t>每迟延一日，应按照</w:t>
      </w:r>
      <w:r>
        <w:rPr>
          <w:rFonts w:hint="eastAsia" w:ascii="宋体" w:hAnsi="宋体" w:eastAsia="宋体" w:cs="仿宋"/>
          <w:szCs w:val="21"/>
        </w:rPr>
        <w:t>合同总价款</w:t>
      </w:r>
      <w:r>
        <w:rPr>
          <w:rFonts w:ascii="宋体" w:hAnsi="宋体" w:eastAsia="宋体" w:cs="仿宋"/>
          <w:szCs w:val="21"/>
        </w:rPr>
        <w:t>万分之五的标准向甲方支付违约金</w:t>
      </w:r>
      <w:r>
        <w:rPr>
          <w:rFonts w:hint="eastAsia" w:ascii="宋体" w:hAnsi="宋体" w:eastAsia="宋体" w:cs="仿宋"/>
          <w:szCs w:val="21"/>
        </w:rPr>
        <w:t>，并</w:t>
      </w:r>
      <w:r>
        <w:rPr>
          <w:rFonts w:ascii="宋体" w:hAnsi="宋体" w:eastAsia="宋体" w:cs="仿宋"/>
          <w:szCs w:val="21"/>
        </w:rPr>
        <w:t>承担甲方由此产生的一切损失和增加的费用</w:t>
      </w:r>
      <w:r>
        <w:rPr>
          <w:rFonts w:hint="eastAsia" w:ascii="宋体" w:hAnsi="宋体" w:eastAsia="宋体" w:cs="仿宋"/>
          <w:szCs w:val="21"/>
        </w:rPr>
        <w:t>，</w:t>
      </w:r>
      <w:r>
        <w:rPr>
          <w:rFonts w:ascii="宋体" w:hAnsi="宋体" w:eastAsia="宋体" w:cs="仿宋"/>
          <w:szCs w:val="21"/>
        </w:rPr>
        <w:t>包括但不限于甲方对第三方承担违约责任而遭受的损失。</w:t>
      </w:r>
    </w:p>
    <w:p>
      <w:pPr>
        <w:widowControl/>
        <w:shd w:val="clear" w:color="auto" w:fill="FFFFFF"/>
        <w:snapToGrid w:val="0"/>
        <w:spacing w:line="288" w:lineRule="auto"/>
        <w:ind w:firstLine="420" w:firstLineChars="200"/>
        <w:jc w:val="left"/>
        <w:textAlignment w:val="baseline"/>
        <w:rPr>
          <w:rFonts w:ascii="宋体" w:hAnsi="宋体" w:eastAsia="宋体" w:cs="仿宋"/>
          <w:szCs w:val="21"/>
        </w:rPr>
      </w:pPr>
      <w:r>
        <w:rPr>
          <w:rFonts w:hint="eastAsia" w:ascii="宋体" w:hAnsi="宋体" w:eastAsia="宋体" w:cs="仿宋"/>
          <w:szCs w:val="21"/>
        </w:rPr>
        <w:t>四、验收未合格：如货物验收未合格，甲方有权要求退货、换货，乙方应与甲方约定新的验收时间进行验收，如乙方不配合进行退货、换货的，货物毁损、灭失等风险由乙方自行承担；若因乙方重新申请验收而超出本合同确定的项目完成时间的，</w:t>
      </w:r>
      <w:r>
        <w:rPr>
          <w:rFonts w:ascii="宋体" w:hAnsi="宋体" w:eastAsia="宋体" w:cs="仿宋"/>
          <w:szCs w:val="21"/>
        </w:rPr>
        <w:t>每迟延一日，应按照</w:t>
      </w:r>
      <w:r>
        <w:rPr>
          <w:rFonts w:hint="eastAsia" w:ascii="宋体" w:hAnsi="宋体" w:eastAsia="宋体" w:cs="仿宋"/>
          <w:szCs w:val="21"/>
        </w:rPr>
        <w:t>合同总价款</w:t>
      </w:r>
      <w:r>
        <w:rPr>
          <w:rFonts w:ascii="宋体" w:hAnsi="宋体" w:eastAsia="宋体" w:cs="仿宋"/>
          <w:szCs w:val="21"/>
        </w:rPr>
        <w:t>万分之五的标准向甲方支付违约金</w:t>
      </w:r>
      <w:r>
        <w:rPr>
          <w:rFonts w:hint="eastAsia" w:ascii="宋体" w:hAnsi="宋体" w:eastAsia="宋体" w:cs="仿宋"/>
          <w:szCs w:val="21"/>
        </w:rPr>
        <w:t>，</w:t>
      </w:r>
      <w:r>
        <w:rPr>
          <w:rFonts w:ascii="宋体" w:hAnsi="宋体" w:eastAsia="宋体" w:cs="仿宋"/>
          <w:szCs w:val="21"/>
        </w:rPr>
        <w:t>同时还应承担由此给甲方造成的一切损失和费用</w:t>
      </w:r>
      <w:r>
        <w:rPr>
          <w:rFonts w:hint="eastAsia" w:ascii="宋体" w:hAnsi="宋体" w:eastAsia="宋体" w:cs="仿宋"/>
          <w:szCs w:val="21"/>
        </w:rPr>
        <w:t>。如果经过2次验收或逾期</w:t>
      </w:r>
      <w:r>
        <w:rPr>
          <w:rFonts w:ascii="宋体" w:hAnsi="宋体" w:eastAsia="宋体"/>
          <w:szCs w:val="21"/>
        </w:rPr>
        <w:t>履行合同义务</w:t>
      </w:r>
      <w:r>
        <w:rPr>
          <w:rFonts w:hint="eastAsia" w:ascii="宋体" w:hAnsi="宋体" w:eastAsia="宋体" w:cs="仿宋"/>
          <w:szCs w:val="21"/>
        </w:rPr>
        <w:t>【30】日</w:t>
      </w:r>
      <w:r>
        <w:rPr>
          <w:rFonts w:ascii="宋体" w:hAnsi="宋体" w:eastAsia="宋体" w:cs="仿宋"/>
          <w:szCs w:val="21"/>
        </w:rPr>
        <w:t>以上（含本数）</w:t>
      </w:r>
      <w:r>
        <w:rPr>
          <w:rFonts w:hint="eastAsia" w:ascii="宋体" w:hAnsi="宋体" w:eastAsia="宋体" w:cs="仿宋"/>
          <w:szCs w:val="21"/>
        </w:rPr>
        <w:t>（以先届至者为准），货物仍不能验收合格的，视为根本性违约。</w:t>
      </w:r>
    </w:p>
    <w:p>
      <w:pPr>
        <w:pStyle w:val="10"/>
        <w:spacing w:line="288" w:lineRule="auto"/>
        <w:ind w:firstLine="420"/>
        <w:rPr>
          <w:rFonts w:ascii="宋体" w:hAnsi="宋体" w:cs="仿宋"/>
          <w:sz w:val="21"/>
          <w:szCs w:val="21"/>
        </w:rPr>
      </w:pPr>
      <w:r>
        <w:rPr>
          <w:rFonts w:hint="eastAsia" w:ascii="宋体" w:hAnsi="宋体" w:cs="仿宋"/>
          <w:sz w:val="21"/>
          <w:szCs w:val="21"/>
        </w:rPr>
        <w:t>五、乙方应当向甲方支付违约金或赔偿金的，应当在甲方发出索赔通知后【7】日之内支付给甲方。如甲方尚有未向乙方支付的款项的，乙方同意甲方也可从未支付款项中抵扣相应数额的款项。</w:t>
      </w:r>
    </w:p>
    <w:p>
      <w:pPr>
        <w:widowControl/>
        <w:shd w:val="clear" w:color="auto" w:fill="FFFFFF"/>
        <w:snapToGrid w:val="0"/>
        <w:spacing w:line="288" w:lineRule="auto"/>
        <w:ind w:firstLine="420" w:firstLineChars="200"/>
        <w:jc w:val="left"/>
        <w:textAlignment w:val="baseline"/>
        <w:rPr>
          <w:rFonts w:ascii="宋体" w:hAnsi="宋体" w:eastAsia="宋体" w:cs="仿宋"/>
          <w:szCs w:val="21"/>
        </w:rPr>
      </w:pPr>
      <w:r>
        <w:rPr>
          <w:rFonts w:hint="eastAsia" w:ascii="宋体" w:hAnsi="宋体" w:eastAsia="宋体" w:cs="仿宋"/>
          <w:szCs w:val="21"/>
        </w:rPr>
        <w:t>六、</w:t>
      </w:r>
      <w:r>
        <w:rPr>
          <w:rFonts w:ascii="宋体" w:hAnsi="宋体" w:eastAsia="宋体" w:cs="仿宋"/>
          <w:szCs w:val="21"/>
        </w:rPr>
        <w:t>根本性违约：如发生根本性违约，甲方有权拒收货物、拒付货款，有权单方面通知乙方解除本合同，有权要求乙方退还已支付的货款，同时，乙方应向甲方支付货物总值【</w:t>
      </w:r>
      <w:r>
        <w:rPr>
          <w:rFonts w:hint="eastAsia" w:ascii="宋体" w:hAnsi="宋体" w:eastAsia="宋体" w:cs="仿宋"/>
          <w:szCs w:val="21"/>
        </w:rPr>
        <w:t>30</w:t>
      </w:r>
      <w:r>
        <w:rPr>
          <w:rFonts w:ascii="宋体" w:hAnsi="宋体" w:eastAsia="宋体" w:cs="仿宋"/>
          <w:szCs w:val="21"/>
        </w:rPr>
        <w:t>】%</w:t>
      </w:r>
      <w:r>
        <w:rPr>
          <w:rFonts w:hint="eastAsia" w:ascii="宋体" w:hAnsi="宋体" w:eastAsia="宋体" w:cs="仿宋"/>
          <w:szCs w:val="21"/>
        </w:rPr>
        <w:t>的</w:t>
      </w:r>
      <w:r>
        <w:rPr>
          <w:rFonts w:ascii="宋体" w:hAnsi="宋体" w:eastAsia="宋体" w:cs="仿宋"/>
          <w:szCs w:val="21"/>
        </w:rPr>
        <w:t>违约金，并应承担因此造成的一切损失和费用。</w:t>
      </w:r>
    </w:p>
    <w:p>
      <w:pPr>
        <w:pStyle w:val="10"/>
        <w:spacing w:line="288" w:lineRule="auto"/>
        <w:ind w:firstLine="420"/>
        <w:rPr>
          <w:rFonts w:ascii="宋体" w:hAnsi="宋体"/>
          <w:sz w:val="21"/>
          <w:szCs w:val="21"/>
        </w:rPr>
      </w:pPr>
      <w:r>
        <w:rPr>
          <w:rFonts w:hint="eastAsia" w:ascii="宋体" w:hAnsi="宋体" w:cs="仿宋"/>
          <w:sz w:val="21"/>
          <w:szCs w:val="21"/>
        </w:rPr>
        <w:t>七、任何一方有其他违反本合同情形的，应赔偿守约方全部损失，该损失包括但不限于对守约方所造成的直接损失、可得利益损失、守约方支付给第三方的赔偿费用</w:t>
      </w:r>
      <w:r>
        <w:rPr>
          <w:rFonts w:ascii="宋体" w:hAnsi="宋体" w:cs="仿宋"/>
          <w:sz w:val="21"/>
          <w:szCs w:val="21"/>
        </w:rPr>
        <w:t>/</w:t>
      </w:r>
      <w:r>
        <w:rPr>
          <w:rFonts w:hint="eastAsia" w:ascii="宋体" w:hAnsi="宋体" w:cs="仿宋"/>
          <w:sz w:val="21"/>
          <w:szCs w:val="21"/>
        </w:rPr>
        <w:t>违约金</w:t>
      </w:r>
      <w:r>
        <w:rPr>
          <w:rFonts w:ascii="宋体" w:hAnsi="宋体" w:cs="仿宋"/>
          <w:sz w:val="21"/>
          <w:szCs w:val="21"/>
        </w:rPr>
        <w:t>/</w:t>
      </w:r>
      <w:r>
        <w:rPr>
          <w:rFonts w:hint="eastAsia" w:ascii="宋体" w:hAnsi="宋体" w:cs="仿宋"/>
          <w:sz w:val="21"/>
          <w:szCs w:val="21"/>
        </w:rPr>
        <w:t>罚款、调查取证费用</w:t>
      </w:r>
      <w:r>
        <w:rPr>
          <w:rFonts w:ascii="宋体" w:hAnsi="宋体" w:cs="仿宋"/>
          <w:sz w:val="21"/>
          <w:szCs w:val="21"/>
        </w:rPr>
        <w:t>/</w:t>
      </w:r>
      <w:r>
        <w:rPr>
          <w:rFonts w:hint="eastAsia" w:ascii="宋体" w:hAnsi="宋体" w:cs="仿宋"/>
          <w:sz w:val="21"/>
          <w:szCs w:val="21"/>
        </w:rPr>
        <w:t>公证费、诉讼费用、律师费以及因此而支付的其他合理费用。</w:t>
      </w:r>
    </w:p>
    <w:p>
      <w:pPr>
        <w:adjustRightInd w:val="0"/>
        <w:snapToGrid w:val="0"/>
        <w:spacing w:line="288" w:lineRule="auto"/>
        <w:ind w:firstLine="422" w:firstLineChars="200"/>
        <w:rPr>
          <w:rFonts w:ascii="宋体" w:hAnsi="宋体" w:eastAsia="宋体" w:cs="仿宋"/>
          <w:b/>
          <w:szCs w:val="21"/>
        </w:rPr>
      </w:pPr>
      <w:r>
        <w:rPr>
          <w:rFonts w:hint="eastAsia" w:ascii="宋体" w:hAnsi="宋体" w:eastAsia="宋体" w:cs="仿宋"/>
          <w:b/>
          <w:szCs w:val="21"/>
        </w:rPr>
        <w:t>第十一条 争议解决</w:t>
      </w:r>
    </w:p>
    <w:p>
      <w:pPr>
        <w:spacing w:line="288" w:lineRule="auto"/>
        <w:ind w:firstLine="420" w:firstLineChars="200"/>
        <w:rPr>
          <w:rFonts w:ascii="宋体" w:hAnsi="宋体" w:eastAsia="宋体" w:cs="仿宋"/>
          <w:szCs w:val="21"/>
        </w:rPr>
      </w:pPr>
      <w:r>
        <w:rPr>
          <w:rFonts w:hint="eastAsia" w:ascii="宋体" w:hAnsi="宋体" w:eastAsia="宋体" w:cs="仿宋"/>
          <w:szCs w:val="21"/>
        </w:rPr>
        <w:t>一、在本合同履行过程中，如发生争议，双方应友好协商解决，经协商仍不能达成一致的，双方同意将争议提交至甲方所在地人民法院。</w:t>
      </w:r>
    </w:p>
    <w:p>
      <w:pPr>
        <w:spacing w:line="288" w:lineRule="auto"/>
        <w:ind w:firstLine="420" w:firstLineChars="200"/>
        <w:rPr>
          <w:rFonts w:ascii="宋体" w:hAnsi="宋体" w:eastAsia="宋体" w:cs="仿宋"/>
          <w:szCs w:val="21"/>
        </w:rPr>
      </w:pPr>
      <w:r>
        <w:rPr>
          <w:rFonts w:hint="eastAsia" w:ascii="宋体" w:hAnsi="宋体" w:eastAsia="宋体" w:cs="仿宋"/>
          <w:szCs w:val="21"/>
        </w:rPr>
        <w:t>二、</w:t>
      </w:r>
      <w:r>
        <w:rPr>
          <w:rFonts w:ascii="宋体" w:hAnsi="宋体" w:eastAsia="宋体" w:cs="仿宋"/>
          <w:szCs w:val="21"/>
        </w:rPr>
        <w:t>如果本合同的任何条款被司法机关或其它有权机关宣布为无效、非法或其它形式的不可执行，本合同其它条款仍然有效，双方均应遵照执行。</w:t>
      </w:r>
    </w:p>
    <w:p>
      <w:pPr>
        <w:adjustRightInd w:val="0"/>
        <w:snapToGrid w:val="0"/>
        <w:spacing w:line="288" w:lineRule="auto"/>
        <w:ind w:firstLine="422" w:firstLineChars="200"/>
        <w:rPr>
          <w:rFonts w:ascii="宋体" w:hAnsi="宋体" w:eastAsia="宋体" w:cs="仿宋"/>
          <w:b/>
          <w:szCs w:val="21"/>
        </w:rPr>
      </w:pPr>
      <w:r>
        <w:rPr>
          <w:rFonts w:hint="eastAsia" w:ascii="宋体" w:hAnsi="宋体" w:eastAsia="宋体" w:cs="仿宋"/>
          <w:b/>
          <w:szCs w:val="21"/>
        </w:rPr>
        <w:t>第十二条 合同的生效、变更及合同份数</w:t>
      </w:r>
    </w:p>
    <w:p>
      <w:pPr>
        <w:adjustRightInd w:val="0"/>
        <w:snapToGrid w:val="0"/>
        <w:spacing w:line="288" w:lineRule="auto"/>
        <w:ind w:firstLine="420" w:firstLineChars="200"/>
        <w:jc w:val="left"/>
        <w:rPr>
          <w:rFonts w:ascii="宋体" w:hAnsi="宋体" w:eastAsia="宋体" w:cs="仿宋"/>
          <w:szCs w:val="21"/>
        </w:rPr>
      </w:pPr>
      <w:r>
        <w:rPr>
          <w:rFonts w:hint="eastAsia" w:ascii="宋体" w:hAnsi="宋体" w:eastAsia="宋体" w:cs="仿宋"/>
          <w:szCs w:val="21"/>
        </w:rPr>
        <w:t>一、本合同经甲方法定代表人或</w:t>
      </w:r>
      <w:r>
        <w:rPr>
          <w:rFonts w:ascii="宋体" w:hAnsi="宋体" w:eastAsia="宋体" w:cs="仿宋"/>
          <w:szCs w:val="21"/>
        </w:rPr>
        <w:t>其委托代理人</w:t>
      </w:r>
      <w:r>
        <w:rPr>
          <w:rFonts w:hint="eastAsia" w:ascii="宋体" w:hAnsi="宋体" w:eastAsia="宋体" w:cs="仿宋"/>
          <w:szCs w:val="21"/>
        </w:rPr>
        <w:t>签字并盖章、乙方法定代表人或</w:t>
      </w:r>
      <w:r>
        <w:rPr>
          <w:rFonts w:ascii="宋体" w:hAnsi="宋体" w:eastAsia="宋体" w:cs="仿宋"/>
          <w:szCs w:val="21"/>
        </w:rPr>
        <w:t>其委托代理人</w:t>
      </w:r>
      <w:r>
        <w:rPr>
          <w:rFonts w:hint="eastAsia" w:ascii="宋体" w:hAnsi="宋体" w:eastAsia="宋体" w:cs="仿宋"/>
          <w:szCs w:val="21"/>
        </w:rPr>
        <w:t>签字并盖章后生效。</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二、</w:t>
      </w:r>
      <w:r>
        <w:rPr>
          <w:rFonts w:ascii="宋体" w:hAnsi="宋体" w:eastAsia="宋体" w:cs="仿宋"/>
          <w:szCs w:val="21"/>
        </w:rPr>
        <w:t>本合同附件及双方的</w:t>
      </w:r>
      <w:r>
        <w:rPr>
          <w:rFonts w:hint="eastAsia" w:ascii="宋体" w:hAnsi="宋体" w:eastAsia="宋体" w:cs="仿宋"/>
          <w:szCs w:val="21"/>
        </w:rPr>
        <w:t>招标文件</w:t>
      </w:r>
      <w:r>
        <w:rPr>
          <w:rFonts w:ascii="宋体" w:hAnsi="宋体" w:eastAsia="宋体" w:cs="仿宋"/>
          <w:szCs w:val="21"/>
        </w:rPr>
        <w:t>、响应文件、谈判记录等系本合同的组成部分</w:t>
      </w:r>
      <w:r>
        <w:rPr>
          <w:rFonts w:hint="eastAsia" w:ascii="宋体" w:hAnsi="宋体" w:eastAsia="宋体" w:cs="仿宋"/>
          <w:szCs w:val="21"/>
        </w:rPr>
        <w:t>。</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三、本合同生效后，未经双方共同协商并达成书面协议，任何一方不得擅自变更本合同约定。</w:t>
      </w:r>
    </w:p>
    <w:p>
      <w:pPr>
        <w:adjustRightInd w:val="0"/>
        <w:snapToGrid w:val="0"/>
        <w:spacing w:line="288" w:lineRule="auto"/>
        <w:ind w:firstLine="420" w:firstLineChars="200"/>
        <w:rPr>
          <w:rFonts w:ascii="宋体" w:hAnsi="宋体" w:eastAsia="宋体" w:cs="仿宋"/>
          <w:szCs w:val="21"/>
        </w:rPr>
      </w:pPr>
      <w:r>
        <w:rPr>
          <w:rFonts w:hint="eastAsia" w:ascii="宋体" w:hAnsi="宋体" w:eastAsia="宋体" w:cs="仿宋"/>
          <w:szCs w:val="21"/>
        </w:rPr>
        <w:t>四、本合同正本一式伍份，甲方执叁份，乙方执贰份，均具有同等法律效力。</w:t>
      </w:r>
    </w:p>
    <w:p>
      <w:pPr>
        <w:pStyle w:val="10"/>
        <w:spacing w:line="288" w:lineRule="auto"/>
        <w:ind w:firstLine="420"/>
        <w:rPr>
          <w:rFonts w:ascii="宋体" w:hAnsi="宋体"/>
          <w:sz w:val="21"/>
          <w:szCs w:val="21"/>
        </w:rPr>
      </w:pPr>
      <w:r>
        <w:rPr>
          <w:rFonts w:hint="eastAsia" w:ascii="宋体" w:hAnsi="宋体" w:cs="仿宋"/>
          <w:sz w:val="21"/>
          <w:szCs w:val="21"/>
        </w:rPr>
        <w:t>五、下述所载双方联系人和联系地址，也视为双方收件地址。双方相关来往函件或司法文书寄送到下述地址后，视为函件或文书已经送达。</w:t>
      </w:r>
    </w:p>
    <w:p>
      <w:pPr>
        <w:snapToGrid w:val="0"/>
        <w:spacing w:line="288" w:lineRule="auto"/>
        <w:ind w:firstLine="422" w:firstLineChars="200"/>
        <w:rPr>
          <w:rFonts w:ascii="宋体" w:hAnsi="宋体" w:eastAsia="宋体" w:cs="仿宋"/>
          <w:szCs w:val="21"/>
        </w:rPr>
      </w:pPr>
      <w:r>
        <w:rPr>
          <w:rFonts w:hint="eastAsia" w:ascii="宋体" w:hAnsi="宋体" w:eastAsia="宋体" w:cs="仿宋"/>
          <w:b/>
          <w:szCs w:val="21"/>
        </w:rPr>
        <w:t>第十三条  双方补充约定的其他事项：</w:t>
      </w:r>
      <w:r>
        <w:rPr>
          <w:rFonts w:hint="eastAsia" w:ascii="宋体" w:hAnsi="宋体" w:eastAsia="宋体" w:cs="仿宋"/>
          <w:szCs w:val="21"/>
        </w:rPr>
        <w:t>【/】。</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487" w:type="pct"/>
            <w:vAlign w:val="center"/>
          </w:tcPr>
          <w:p>
            <w:pPr>
              <w:spacing w:line="288" w:lineRule="auto"/>
              <w:rPr>
                <w:rFonts w:ascii="宋体" w:hAnsi="宋体" w:eastAsia="宋体" w:cs="仿宋"/>
                <w:szCs w:val="21"/>
              </w:rPr>
            </w:pPr>
            <w:r>
              <w:rPr>
                <w:rFonts w:ascii="宋体" w:hAnsi="宋体" w:eastAsia="宋体" w:cs="仿宋"/>
                <w:szCs w:val="21"/>
              </w:rPr>
              <w:t>甲方（公章）：浙江机电职业技术学院</w:t>
            </w:r>
          </w:p>
        </w:tc>
        <w:tc>
          <w:tcPr>
            <w:tcW w:w="2513" w:type="pct"/>
            <w:vAlign w:val="center"/>
          </w:tcPr>
          <w:p>
            <w:pPr>
              <w:spacing w:line="288" w:lineRule="auto"/>
              <w:rPr>
                <w:rFonts w:ascii="宋体" w:hAnsi="宋体" w:eastAsia="宋体" w:cs="仿宋"/>
                <w:szCs w:val="21"/>
              </w:rPr>
            </w:pPr>
            <w:r>
              <w:rPr>
                <w:rFonts w:ascii="宋体" w:hAnsi="宋体" w:eastAsia="宋体" w:cs="仿宋"/>
                <w:szCs w:val="21"/>
              </w:rPr>
              <w:t>乙方（公章）：</w:t>
            </w:r>
            <w:r>
              <w:rPr>
                <w:rFonts w:hint="eastAsia" w:ascii="宋体" w:hAnsi="宋体" w:eastAsia="宋体" w:cs="仿宋"/>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487" w:type="pct"/>
            <w:vAlign w:val="center"/>
          </w:tcPr>
          <w:p>
            <w:pPr>
              <w:spacing w:line="288" w:lineRule="auto"/>
              <w:rPr>
                <w:rFonts w:ascii="宋体" w:hAnsi="宋体" w:eastAsia="宋体" w:cs="仿宋"/>
                <w:szCs w:val="21"/>
              </w:rPr>
            </w:pPr>
            <w:r>
              <w:rPr>
                <w:rFonts w:ascii="宋体" w:hAnsi="宋体" w:eastAsia="宋体" w:cs="仿宋"/>
                <w:szCs w:val="21"/>
              </w:rPr>
              <w:t>法定代表人或其委托代理人：</w:t>
            </w:r>
          </w:p>
          <w:p>
            <w:pPr>
              <w:spacing w:line="288" w:lineRule="auto"/>
              <w:rPr>
                <w:rFonts w:ascii="宋体" w:hAnsi="宋体" w:eastAsia="宋体" w:cs="仿宋"/>
                <w:szCs w:val="21"/>
              </w:rPr>
            </w:pPr>
            <w:r>
              <w:rPr>
                <w:rFonts w:ascii="宋体" w:hAnsi="宋体" w:eastAsia="宋体" w:cs="仿宋"/>
                <w:szCs w:val="21"/>
              </w:rPr>
              <w:t>(签字）</w:t>
            </w:r>
          </w:p>
        </w:tc>
        <w:tc>
          <w:tcPr>
            <w:tcW w:w="2513" w:type="pct"/>
            <w:vAlign w:val="center"/>
          </w:tcPr>
          <w:p>
            <w:pPr>
              <w:spacing w:line="288" w:lineRule="auto"/>
              <w:jc w:val="left"/>
              <w:rPr>
                <w:rFonts w:ascii="宋体" w:hAnsi="宋体" w:eastAsia="宋体" w:cs="仿宋"/>
                <w:szCs w:val="21"/>
              </w:rPr>
            </w:pPr>
            <w:r>
              <w:rPr>
                <w:rFonts w:ascii="宋体" w:hAnsi="宋体" w:eastAsia="宋体" w:cs="仿宋"/>
                <w:szCs w:val="21"/>
              </w:rPr>
              <w:t>法定代表人或其委托代理人：</w:t>
            </w:r>
          </w:p>
          <w:p>
            <w:pPr>
              <w:spacing w:line="288" w:lineRule="auto"/>
              <w:jc w:val="left"/>
              <w:rPr>
                <w:rFonts w:ascii="宋体" w:hAnsi="宋体" w:eastAsia="宋体" w:cs="仿宋"/>
                <w:szCs w:val="21"/>
              </w:rPr>
            </w:pPr>
            <w:r>
              <w:rPr>
                <w:rFonts w:ascii="宋体" w:hAnsi="宋体" w:eastAsia="宋体" w:cs="仿宋"/>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487" w:type="pct"/>
            <w:vAlign w:val="center"/>
          </w:tcPr>
          <w:p>
            <w:pPr>
              <w:spacing w:line="288" w:lineRule="auto"/>
              <w:rPr>
                <w:rFonts w:ascii="宋体" w:hAnsi="宋体" w:eastAsia="宋体" w:cs="仿宋"/>
                <w:szCs w:val="21"/>
              </w:rPr>
            </w:pPr>
            <w:r>
              <w:rPr>
                <w:rFonts w:ascii="宋体" w:hAnsi="宋体" w:eastAsia="宋体" w:cs="仿宋"/>
                <w:szCs w:val="21"/>
              </w:rPr>
              <w:t>地址：</w:t>
            </w:r>
            <w:r>
              <w:rPr>
                <w:rFonts w:hint="eastAsia" w:ascii="宋体" w:hAnsi="宋体" w:eastAsia="宋体" w:cs="仿宋"/>
                <w:szCs w:val="21"/>
              </w:rPr>
              <w:t>浙江省</w:t>
            </w:r>
            <w:r>
              <w:rPr>
                <w:rFonts w:ascii="宋体" w:hAnsi="宋体" w:eastAsia="宋体" w:cs="仿宋"/>
                <w:szCs w:val="21"/>
              </w:rPr>
              <w:t>杭州市滨江</w:t>
            </w:r>
            <w:r>
              <w:rPr>
                <w:rFonts w:hint="eastAsia" w:ascii="宋体" w:hAnsi="宋体" w:eastAsia="宋体" w:cs="仿宋"/>
                <w:szCs w:val="21"/>
              </w:rPr>
              <w:t>区</w:t>
            </w:r>
            <w:r>
              <w:rPr>
                <w:rFonts w:ascii="宋体" w:hAnsi="宋体" w:eastAsia="宋体" w:cs="仿宋"/>
                <w:szCs w:val="21"/>
              </w:rPr>
              <w:t>滨文路5</w:t>
            </w:r>
            <w:r>
              <w:rPr>
                <w:rFonts w:hint="eastAsia" w:ascii="宋体" w:hAnsi="宋体" w:eastAsia="宋体" w:cs="仿宋"/>
                <w:szCs w:val="21"/>
              </w:rPr>
              <w:t>2</w:t>
            </w:r>
            <w:r>
              <w:rPr>
                <w:rFonts w:ascii="宋体" w:hAnsi="宋体" w:eastAsia="宋体" w:cs="仿宋"/>
                <w:szCs w:val="21"/>
              </w:rPr>
              <w:t>8号</w:t>
            </w:r>
          </w:p>
        </w:tc>
        <w:tc>
          <w:tcPr>
            <w:tcW w:w="2513" w:type="pct"/>
            <w:vAlign w:val="center"/>
          </w:tcPr>
          <w:p>
            <w:pPr>
              <w:spacing w:line="288" w:lineRule="auto"/>
              <w:jc w:val="left"/>
              <w:rPr>
                <w:rFonts w:ascii="宋体" w:hAnsi="宋体" w:eastAsia="宋体" w:cs="仿宋"/>
                <w:szCs w:val="21"/>
              </w:rPr>
            </w:pPr>
            <w:r>
              <w:rPr>
                <w:rFonts w:ascii="宋体" w:hAnsi="宋体" w:eastAsia="宋体" w:cs="仿宋"/>
                <w:szCs w:val="21"/>
              </w:rPr>
              <w:t>地址：</w:t>
            </w:r>
            <w:r>
              <w:rPr>
                <w:rFonts w:hint="eastAsia" w:ascii="宋体" w:hAnsi="宋体" w:eastAsia="宋体" w:cs="仿宋"/>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2487" w:type="pct"/>
            <w:vAlign w:val="center"/>
          </w:tcPr>
          <w:p>
            <w:pPr>
              <w:spacing w:line="288" w:lineRule="auto"/>
              <w:rPr>
                <w:rFonts w:ascii="宋体" w:hAnsi="宋体" w:eastAsia="宋体" w:cs="仿宋"/>
                <w:szCs w:val="21"/>
              </w:rPr>
            </w:pPr>
            <w:r>
              <w:rPr>
                <w:rFonts w:ascii="宋体" w:hAnsi="宋体" w:eastAsia="宋体" w:cs="仿宋"/>
                <w:szCs w:val="21"/>
              </w:rPr>
              <w:t>邮编：310053</w:t>
            </w:r>
          </w:p>
        </w:tc>
        <w:tc>
          <w:tcPr>
            <w:tcW w:w="2513" w:type="pct"/>
            <w:vAlign w:val="center"/>
          </w:tcPr>
          <w:p>
            <w:pPr>
              <w:spacing w:line="288" w:lineRule="auto"/>
              <w:jc w:val="left"/>
              <w:rPr>
                <w:rFonts w:ascii="宋体" w:hAnsi="宋体" w:eastAsia="宋体" w:cs="仿宋"/>
                <w:szCs w:val="21"/>
              </w:rPr>
            </w:pPr>
            <w:r>
              <w:rPr>
                <w:rFonts w:ascii="宋体" w:hAnsi="宋体" w:eastAsia="宋体" w:cs="仿宋"/>
                <w:szCs w:val="21"/>
              </w:rPr>
              <w:t>邮编：</w:t>
            </w:r>
            <w:r>
              <w:rPr>
                <w:rFonts w:hint="eastAsia" w:ascii="宋体" w:hAnsi="宋体" w:eastAsia="宋体" w:cs="仿宋"/>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2487" w:type="pct"/>
            <w:vAlign w:val="center"/>
          </w:tcPr>
          <w:p>
            <w:pPr>
              <w:spacing w:line="288" w:lineRule="auto"/>
              <w:rPr>
                <w:rFonts w:ascii="宋体" w:hAnsi="宋体" w:eastAsia="宋体" w:cs="仿宋"/>
                <w:szCs w:val="21"/>
              </w:rPr>
            </w:pPr>
            <w:r>
              <w:rPr>
                <w:rFonts w:ascii="宋体" w:hAnsi="宋体" w:eastAsia="宋体" w:cs="仿宋"/>
                <w:szCs w:val="21"/>
              </w:rPr>
              <w:t>项目</w:t>
            </w:r>
            <w:r>
              <w:rPr>
                <w:rFonts w:hint="eastAsia" w:ascii="宋体" w:hAnsi="宋体" w:eastAsia="宋体" w:cs="仿宋"/>
                <w:szCs w:val="21"/>
              </w:rPr>
              <w:t>联系人：</w:t>
            </w:r>
          </w:p>
        </w:tc>
        <w:tc>
          <w:tcPr>
            <w:tcW w:w="2513" w:type="pct"/>
            <w:vAlign w:val="center"/>
          </w:tcPr>
          <w:p>
            <w:pPr>
              <w:spacing w:line="288" w:lineRule="auto"/>
              <w:jc w:val="left"/>
              <w:rPr>
                <w:rFonts w:ascii="宋体" w:hAnsi="宋体" w:eastAsia="宋体" w:cs="仿宋"/>
                <w:szCs w:val="21"/>
              </w:rPr>
            </w:pPr>
            <w:r>
              <w:rPr>
                <w:rFonts w:ascii="宋体" w:hAnsi="宋体" w:eastAsia="宋体" w:cs="仿宋"/>
                <w:szCs w:val="21"/>
              </w:rPr>
              <w:t>固定电话：</w:t>
            </w:r>
            <w:r>
              <w:rPr>
                <w:rFonts w:hint="eastAsia" w:ascii="宋体" w:hAnsi="宋体" w:eastAsia="宋体" w:cs="仿宋"/>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2487" w:type="pct"/>
            <w:vAlign w:val="center"/>
          </w:tcPr>
          <w:p>
            <w:pPr>
              <w:spacing w:line="288" w:lineRule="auto"/>
              <w:rPr>
                <w:rFonts w:ascii="宋体" w:hAnsi="宋体" w:eastAsia="宋体" w:cs="仿宋"/>
                <w:szCs w:val="21"/>
              </w:rPr>
            </w:pPr>
            <w:r>
              <w:rPr>
                <w:rFonts w:ascii="宋体" w:hAnsi="宋体" w:eastAsia="宋体" w:cs="仿宋"/>
                <w:szCs w:val="21"/>
              </w:rPr>
              <w:t>项目</w:t>
            </w:r>
            <w:r>
              <w:rPr>
                <w:rFonts w:hint="eastAsia" w:ascii="宋体" w:hAnsi="宋体" w:eastAsia="宋体" w:cs="仿宋"/>
                <w:szCs w:val="21"/>
              </w:rPr>
              <w:t>联系人</w:t>
            </w:r>
            <w:r>
              <w:rPr>
                <w:rFonts w:ascii="宋体" w:hAnsi="宋体" w:eastAsia="宋体" w:cs="仿宋"/>
                <w:szCs w:val="21"/>
              </w:rPr>
              <w:t>电话：0571-</w:t>
            </w:r>
          </w:p>
        </w:tc>
        <w:tc>
          <w:tcPr>
            <w:tcW w:w="2513" w:type="pct"/>
            <w:vAlign w:val="center"/>
          </w:tcPr>
          <w:p>
            <w:pPr>
              <w:spacing w:line="288" w:lineRule="auto"/>
              <w:jc w:val="left"/>
              <w:rPr>
                <w:rFonts w:ascii="宋体" w:hAnsi="宋体" w:eastAsia="宋体" w:cs="仿宋"/>
                <w:szCs w:val="21"/>
              </w:rPr>
            </w:pPr>
            <w:r>
              <w:rPr>
                <w:rFonts w:ascii="宋体" w:hAnsi="宋体" w:eastAsia="宋体" w:cs="仿宋"/>
                <w:szCs w:val="21"/>
              </w:rPr>
              <w:t>联系人</w:t>
            </w:r>
            <w:r>
              <w:rPr>
                <w:rFonts w:hint="eastAsia" w:ascii="宋体" w:hAnsi="宋体" w:eastAsia="宋体" w:cs="仿宋"/>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2487" w:type="pct"/>
            <w:vAlign w:val="center"/>
          </w:tcPr>
          <w:p>
            <w:pPr>
              <w:spacing w:line="288" w:lineRule="auto"/>
              <w:rPr>
                <w:rFonts w:ascii="宋体" w:hAnsi="宋体" w:eastAsia="宋体" w:cs="仿宋"/>
                <w:szCs w:val="21"/>
              </w:rPr>
            </w:pPr>
            <w:r>
              <w:rPr>
                <w:rFonts w:ascii="宋体" w:hAnsi="宋体" w:eastAsia="宋体" w:cs="仿宋"/>
                <w:szCs w:val="21"/>
              </w:rPr>
              <w:t>采购经办人电话</w:t>
            </w:r>
            <w:r>
              <w:rPr>
                <w:rFonts w:hint="eastAsia" w:ascii="宋体" w:hAnsi="宋体" w:eastAsia="宋体" w:cs="仿宋"/>
                <w:szCs w:val="21"/>
              </w:rPr>
              <w:t>：</w:t>
            </w:r>
            <w:r>
              <w:rPr>
                <w:rFonts w:ascii="宋体" w:hAnsi="宋体" w:eastAsia="宋体" w:cs="仿宋"/>
                <w:szCs w:val="21"/>
              </w:rPr>
              <w:t>0571-</w:t>
            </w:r>
            <w:r>
              <w:rPr>
                <w:rFonts w:hint="eastAsia" w:ascii="宋体" w:hAnsi="宋体" w:eastAsia="宋体" w:cs="仿宋"/>
                <w:szCs w:val="21"/>
              </w:rPr>
              <w:t>87775080</w:t>
            </w:r>
          </w:p>
        </w:tc>
        <w:tc>
          <w:tcPr>
            <w:tcW w:w="2513" w:type="pct"/>
            <w:vAlign w:val="center"/>
          </w:tcPr>
          <w:p>
            <w:pPr>
              <w:spacing w:line="288" w:lineRule="auto"/>
              <w:jc w:val="left"/>
              <w:rPr>
                <w:rFonts w:ascii="宋体" w:hAnsi="宋体" w:eastAsia="宋体" w:cs="仿宋"/>
                <w:szCs w:val="21"/>
              </w:rPr>
            </w:pPr>
            <w:r>
              <w:rPr>
                <w:rFonts w:ascii="宋体" w:hAnsi="宋体" w:eastAsia="宋体" w:cs="仿宋"/>
                <w:szCs w:val="21"/>
              </w:rPr>
              <w:t>联系方式</w:t>
            </w:r>
            <w:r>
              <w:rPr>
                <w:rFonts w:hint="eastAsia" w:ascii="宋体" w:hAnsi="宋体" w:eastAsia="宋体" w:cs="仿宋"/>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2487" w:type="pct"/>
            <w:vAlign w:val="center"/>
          </w:tcPr>
          <w:p>
            <w:pPr>
              <w:spacing w:line="288" w:lineRule="auto"/>
              <w:rPr>
                <w:rFonts w:ascii="宋体" w:hAnsi="宋体" w:eastAsia="宋体" w:cs="仿宋"/>
                <w:szCs w:val="21"/>
              </w:rPr>
            </w:pPr>
            <w:r>
              <w:rPr>
                <w:rFonts w:ascii="宋体" w:hAnsi="宋体" w:eastAsia="宋体" w:cs="仿宋"/>
                <w:szCs w:val="21"/>
              </w:rPr>
              <w:t>开户银行：</w:t>
            </w:r>
            <w:r>
              <w:rPr>
                <w:rFonts w:hint="eastAsia" w:ascii="宋体" w:hAnsi="宋体" w:eastAsia="宋体" w:cs="仿宋"/>
                <w:szCs w:val="21"/>
              </w:rPr>
              <w:t>中</w:t>
            </w:r>
            <w:r>
              <w:rPr>
                <w:rFonts w:ascii="宋体" w:hAnsi="宋体" w:eastAsia="宋体" w:cs="仿宋"/>
                <w:szCs w:val="21"/>
              </w:rPr>
              <w:t>行杭州建北支行</w:t>
            </w:r>
          </w:p>
        </w:tc>
        <w:tc>
          <w:tcPr>
            <w:tcW w:w="2513" w:type="pct"/>
            <w:vAlign w:val="center"/>
          </w:tcPr>
          <w:p>
            <w:pPr>
              <w:spacing w:line="288" w:lineRule="auto"/>
              <w:jc w:val="left"/>
              <w:rPr>
                <w:rFonts w:ascii="宋体" w:hAnsi="宋体" w:eastAsia="宋体" w:cs="仿宋"/>
                <w:szCs w:val="21"/>
              </w:rPr>
            </w:pPr>
            <w:r>
              <w:rPr>
                <w:rFonts w:ascii="宋体" w:hAnsi="宋体" w:eastAsia="宋体" w:cs="仿宋"/>
                <w:szCs w:val="21"/>
              </w:rPr>
              <w:t>开户银行：</w:t>
            </w:r>
            <w:r>
              <w:rPr>
                <w:rFonts w:hint="eastAsia" w:ascii="宋体" w:hAnsi="宋体" w:eastAsia="宋体" w:cs="仿宋"/>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2487" w:type="pct"/>
            <w:vAlign w:val="center"/>
          </w:tcPr>
          <w:p>
            <w:pPr>
              <w:spacing w:line="288" w:lineRule="auto"/>
              <w:rPr>
                <w:rFonts w:ascii="宋体" w:hAnsi="宋体" w:eastAsia="宋体" w:cs="仿宋"/>
                <w:szCs w:val="21"/>
              </w:rPr>
            </w:pPr>
            <w:r>
              <w:rPr>
                <w:rFonts w:ascii="宋体" w:hAnsi="宋体" w:eastAsia="宋体" w:cs="仿宋"/>
                <w:szCs w:val="21"/>
              </w:rPr>
              <w:t>帐号：</w:t>
            </w:r>
            <w:r>
              <w:rPr>
                <w:rFonts w:hint="eastAsia" w:ascii="宋体" w:hAnsi="宋体" w:eastAsia="宋体" w:cs="仿宋"/>
                <w:szCs w:val="21"/>
              </w:rPr>
              <w:t>396168078680</w:t>
            </w:r>
          </w:p>
        </w:tc>
        <w:tc>
          <w:tcPr>
            <w:tcW w:w="2513" w:type="pct"/>
            <w:vAlign w:val="center"/>
          </w:tcPr>
          <w:p>
            <w:pPr>
              <w:spacing w:line="288" w:lineRule="auto"/>
              <w:rPr>
                <w:rFonts w:ascii="宋体" w:hAnsi="宋体" w:eastAsia="宋体" w:cs="仿宋"/>
                <w:szCs w:val="21"/>
              </w:rPr>
            </w:pPr>
            <w:r>
              <w:rPr>
                <w:rFonts w:ascii="宋体" w:hAnsi="宋体" w:eastAsia="宋体" w:cs="仿宋"/>
                <w:szCs w:val="21"/>
              </w:rPr>
              <w:t>帐号：</w:t>
            </w:r>
            <w:r>
              <w:rPr>
                <w:rFonts w:hint="eastAsia" w:ascii="宋体" w:hAnsi="宋体" w:eastAsia="宋体" w:cs="仿宋"/>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87" w:type="pct"/>
            <w:vAlign w:val="center"/>
          </w:tcPr>
          <w:p>
            <w:pPr>
              <w:spacing w:line="288" w:lineRule="auto"/>
              <w:rPr>
                <w:rFonts w:ascii="宋体" w:hAnsi="宋体" w:eastAsia="宋体" w:cs="仿宋"/>
                <w:szCs w:val="21"/>
              </w:rPr>
            </w:pPr>
            <w:r>
              <w:rPr>
                <w:rFonts w:hint="eastAsia" w:ascii="宋体" w:hAnsi="宋体" w:eastAsia="宋体" w:cs="仿宋"/>
                <w:szCs w:val="21"/>
              </w:rPr>
              <w:t>税号：123300004700387327</w:t>
            </w:r>
          </w:p>
        </w:tc>
        <w:tc>
          <w:tcPr>
            <w:tcW w:w="2513" w:type="pct"/>
            <w:vAlign w:val="center"/>
          </w:tcPr>
          <w:p>
            <w:pPr>
              <w:spacing w:line="288" w:lineRule="auto"/>
              <w:rPr>
                <w:rFonts w:ascii="宋体" w:hAnsi="宋体" w:eastAsia="宋体" w:cs="仿宋"/>
                <w:szCs w:val="21"/>
              </w:rPr>
            </w:pPr>
            <w:r>
              <w:rPr>
                <w:rFonts w:hint="eastAsia" w:ascii="宋体" w:hAnsi="宋体" w:eastAsia="宋体" w:cs="仿宋"/>
                <w:szCs w:val="21"/>
              </w:rPr>
              <w:t>税号：（必填）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0" w:type="pct"/>
            <w:gridSpan w:val="2"/>
            <w:vAlign w:val="center"/>
          </w:tcPr>
          <w:p>
            <w:pPr>
              <w:spacing w:line="288" w:lineRule="auto"/>
              <w:rPr>
                <w:rFonts w:ascii="宋体" w:hAnsi="宋体" w:eastAsia="宋体" w:cs="仿宋"/>
                <w:szCs w:val="21"/>
              </w:rPr>
            </w:pPr>
            <w:r>
              <w:rPr>
                <w:rFonts w:ascii="宋体" w:hAnsi="宋体" w:eastAsia="宋体" w:cs="仿宋"/>
                <w:szCs w:val="21"/>
              </w:rPr>
              <w:t>合同签订地点：</w:t>
            </w:r>
            <w:r>
              <w:rPr>
                <w:rFonts w:hint="eastAsia" w:ascii="宋体" w:hAnsi="宋体" w:eastAsia="宋体" w:cs="仿宋"/>
                <w:szCs w:val="21"/>
              </w:rPr>
              <w:t>浙江省</w:t>
            </w:r>
            <w:r>
              <w:rPr>
                <w:rFonts w:ascii="宋体" w:hAnsi="宋体" w:eastAsia="宋体" w:cs="仿宋"/>
                <w:szCs w:val="21"/>
              </w:rPr>
              <w:t>杭州市滨江</w:t>
            </w:r>
            <w:r>
              <w:rPr>
                <w:rFonts w:hint="eastAsia" w:ascii="宋体" w:hAnsi="宋体" w:eastAsia="宋体" w:cs="仿宋"/>
                <w:szCs w:val="21"/>
              </w:rPr>
              <w:t>区</w:t>
            </w:r>
            <w:r>
              <w:rPr>
                <w:rFonts w:ascii="宋体" w:hAnsi="宋体" w:eastAsia="宋体" w:cs="仿宋"/>
                <w:szCs w:val="21"/>
              </w:rPr>
              <w:t>滨文路5</w:t>
            </w:r>
            <w:r>
              <w:rPr>
                <w:rFonts w:hint="eastAsia" w:ascii="宋体" w:hAnsi="宋体" w:eastAsia="宋体" w:cs="仿宋"/>
                <w:szCs w:val="21"/>
              </w:rPr>
              <w:t>2</w:t>
            </w:r>
            <w:r>
              <w:rPr>
                <w:rFonts w:ascii="宋体" w:hAnsi="宋体" w:eastAsia="宋体" w:cs="仿宋"/>
                <w:szCs w:val="21"/>
              </w:rPr>
              <w:t>8号  签订时间：</w:t>
            </w:r>
            <w:r>
              <w:rPr>
                <w:rFonts w:hint="eastAsia" w:ascii="宋体" w:hAnsi="宋体" w:eastAsia="宋体" w:cs="仿宋"/>
                <w:szCs w:val="21"/>
              </w:rPr>
              <w:t>2023</w:t>
            </w:r>
            <w:r>
              <w:rPr>
                <w:rFonts w:ascii="宋体" w:hAnsi="宋体" w:eastAsia="宋体" w:cs="仿宋"/>
                <w:szCs w:val="21"/>
              </w:rPr>
              <w:t>年</w:t>
            </w:r>
            <w:r>
              <w:rPr>
                <w:rFonts w:hint="eastAsia" w:ascii="宋体" w:hAnsi="宋体" w:eastAsia="宋体" w:cs="仿宋"/>
                <w:szCs w:val="21"/>
              </w:rPr>
              <w:t xml:space="preserve">    </w:t>
            </w:r>
            <w:r>
              <w:rPr>
                <w:rFonts w:ascii="宋体" w:hAnsi="宋体" w:eastAsia="宋体" w:cs="仿宋"/>
                <w:szCs w:val="21"/>
              </w:rPr>
              <w:t xml:space="preserve">月  </w:t>
            </w:r>
            <w:r>
              <w:rPr>
                <w:rFonts w:hint="eastAsia" w:ascii="宋体" w:hAnsi="宋体" w:eastAsia="宋体" w:cs="仿宋"/>
                <w:szCs w:val="21"/>
              </w:rPr>
              <w:t xml:space="preserve">  </w:t>
            </w:r>
            <w:r>
              <w:rPr>
                <w:rFonts w:ascii="宋体" w:hAnsi="宋体" w:eastAsia="宋体" w:cs="仿宋"/>
                <w:szCs w:val="21"/>
              </w:rPr>
              <w:t>日</w:t>
            </w:r>
          </w:p>
        </w:tc>
      </w:tr>
    </w:tbl>
    <w:p>
      <w:pPr>
        <w:spacing w:line="288" w:lineRule="auto"/>
        <w:rPr>
          <w:rFonts w:ascii="宋体" w:hAnsi="宋体" w:eastAsia="宋体"/>
          <w:szCs w:val="21"/>
        </w:rPr>
      </w:pPr>
      <w:r>
        <w:rPr>
          <w:rFonts w:ascii="宋体" w:hAnsi="宋体" w:eastAsia="宋体"/>
          <w:szCs w:val="21"/>
        </w:rPr>
        <w:br w:type="page"/>
      </w:r>
      <w:r>
        <w:rPr>
          <w:rFonts w:ascii="宋体" w:hAnsi="宋体" w:eastAsia="宋体"/>
          <w:szCs w:val="21"/>
        </w:rPr>
        <w:t>附件</w:t>
      </w:r>
      <w:r>
        <w:rPr>
          <w:rFonts w:hint="eastAsia" w:ascii="宋体" w:hAnsi="宋体" w:eastAsia="宋体"/>
          <w:szCs w:val="21"/>
        </w:rPr>
        <w:t>（请严格按照招投标文件和谈判记录填写配置清单和服务承诺）（如有）：</w:t>
      </w:r>
    </w:p>
    <w:p>
      <w:pPr>
        <w:numPr>
          <w:ilvl w:val="0"/>
          <w:numId w:val="7"/>
        </w:numPr>
        <w:spacing w:line="288" w:lineRule="auto"/>
        <w:rPr>
          <w:rFonts w:ascii="宋体" w:hAnsi="宋体" w:eastAsia="宋体"/>
          <w:b/>
          <w:szCs w:val="21"/>
        </w:rPr>
      </w:pPr>
      <w:r>
        <w:rPr>
          <w:rFonts w:hint="eastAsia" w:ascii="宋体" w:hAnsi="宋体" w:eastAsia="宋体"/>
          <w:b/>
          <w:szCs w:val="21"/>
        </w:rPr>
        <w:t>配置清单</w:t>
      </w:r>
    </w:p>
    <w:p>
      <w:pPr>
        <w:pStyle w:val="10"/>
        <w:spacing w:line="288" w:lineRule="auto"/>
        <w:rPr>
          <w:rFonts w:ascii="宋体" w:hAnsi="宋体"/>
          <w:sz w:val="21"/>
          <w:szCs w:val="21"/>
        </w:rPr>
      </w:pPr>
    </w:p>
    <w:p>
      <w:pPr>
        <w:numPr>
          <w:ilvl w:val="0"/>
          <w:numId w:val="7"/>
        </w:numPr>
        <w:spacing w:line="288" w:lineRule="auto"/>
        <w:rPr>
          <w:rFonts w:ascii="宋体" w:hAnsi="宋体" w:eastAsia="宋体"/>
          <w:b/>
          <w:szCs w:val="21"/>
        </w:rPr>
      </w:pPr>
      <w:r>
        <w:rPr>
          <w:rFonts w:hint="eastAsia" w:ascii="宋体" w:hAnsi="宋体" w:eastAsia="宋体"/>
          <w:b/>
          <w:szCs w:val="21"/>
        </w:rPr>
        <w:t>服务承诺</w:t>
      </w:r>
    </w:p>
    <w:p>
      <w:pPr>
        <w:pStyle w:val="13"/>
        <w:spacing w:before="120" w:after="120" w:line="288" w:lineRule="auto"/>
        <w:rPr>
          <w:rFonts w:hAnsi="宋体" w:eastAsia="宋体"/>
          <w:sz w:val="21"/>
          <w:szCs w:val="21"/>
        </w:rPr>
      </w:pPr>
    </w:p>
    <w:p>
      <w:pPr>
        <w:numPr>
          <w:ilvl w:val="0"/>
          <w:numId w:val="7"/>
        </w:numPr>
        <w:spacing w:line="288" w:lineRule="auto"/>
        <w:rPr>
          <w:rFonts w:ascii="宋体" w:hAnsi="宋体" w:eastAsia="宋体"/>
          <w:b/>
          <w:szCs w:val="21"/>
        </w:rPr>
      </w:pPr>
      <w:r>
        <w:rPr>
          <w:rFonts w:ascii="宋体" w:hAnsi="宋体" w:eastAsia="宋体"/>
          <w:szCs w:val="21"/>
        </w:rPr>
        <w:br w:type="page"/>
      </w:r>
      <w:r>
        <w:rPr>
          <w:rFonts w:ascii="宋体" w:hAnsi="宋体" w:eastAsia="宋体"/>
          <w:b/>
          <w:szCs w:val="21"/>
        </w:rPr>
        <w:t>廉政协议</w:t>
      </w:r>
      <w:r>
        <w:rPr>
          <w:rFonts w:hint="eastAsia" w:ascii="宋体" w:hAnsi="宋体" w:eastAsia="宋体"/>
          <w:b/>
          <w:color w:val="FF0000"/>
          <w:szCs w:val="21"/>
        </w:rPr>
        <w:t>（50万以上适用）</w:t>
      </w:r>
    </w:p>
    <w:p>
      <w:pPr>
        <w:spacing w:line="288" w:lineRule="auto"/>
        <w:rPr>
          <w:rFonts w:ascii="宋体" w:hAnsi="宋体" w:eastAsia="宋体"/>
          <w:szCs w:val="21"/>
        </w:rPr>
      </w:pPr>
      <w:r>
        <w:rPr>
          <w:rFonts w:ascii="宋体" w:hAnsi="宋体" w:eastAsia="宋体"/>
          <w:szCs w:val="21"/>
        </w:rPr>
        <w:t>甲方：浙江机电职业技术学院</w:t>
      </w:r>
    </w:p>
    <w:p>
      <w:pPr>
        <w:spacing w:line="288" w:lineRule="auto"/>
        <w:rPr>
          <w:rFonts w:ascii="宋体" w:hAnsi="宋体" w:eastAsia="宋体"/>
          <w:szCs w:val="21"/>
        </w:rPr>
      </w:pPr>
      <w:r>
        <w:rPr>
          <w:rFonts w:ascii="宋体" w:hAnsi="宋体" w:eastAsia="宋体"/>
          <w:szCs w:val="21"/>
        </w:rPr>
        <w:t>乙方：</w:t>
      </w:r>
    </w:p>
    <w:p>
      <w:pPr>
        <w:pStyle w:val="110"/>
        <w:spacing w:line="288" w:lineRule="auto"/>
        <w:ind w:firstLine="420" w:firstLineChars="200"/>
        <w:rPr>
          <w:rFonts w:ascii="宋体" w:hAnsi="宋体"/>
          <w:sz w:val="21"/>
          <w:szCs w:val="21"/>
        </w:rPr>
      </w:pPr>
      <w:r>
        <w:rPr>
          <w:rFonts w:ascii="宋体" w:hAnsi="宋体"/>
          <w:sz w:val="21"/>
          <w:szCs w:val="21"/>
          <w:highlight w:val="none"/>
        </w:rPr>
        <w:t>为规范《</w:t>
      </w:r>
      <w:r>
        <w:rPr>
          <w:rFonts w:ascii="宋体" w:hAnsi="宋体"/>
          <w:sz w:val="21"/>
          <w:szCs w:val="21"/>
          <w:highlight w:val="none"/>
          <w:u w:val="single"/>
        </w:rPr>
        <w:t xml:space="preserve">                                        </w:t>
      </w:r>
      <w:r>
        <w:rPr>
          <w:rFonts w:ascii="宋体" w:hAnsi="宋体"/>
          <w:sz w:val="21"/>
          <w:szCs w:val="21"/>
          <w:highlight w:val="none"/>
        </w:rPr>
        <w:t>》（合同</w:t>
      </w:r>
      <w:r>
        <w:rPr>
          <w:rFonts w:hint="eastAsia" w:ascii="宋体" w:hAnsi="宋体"/>
          <w:sz w:val="21"/>
          <w:szCs w:val="21"/>
          <w:highlight w:val="none"/>
        </w:rPr>
        <w:t>名称</w:t>
      </w:r>
      <w:r>
        <w:rPr>
          <w:rFonts w:ascii="宋体" w:hAnsi="宋体"/>
          <w:sz w:val="21"/>
          <w:szCs w:val="21"/>
          <w:highlight w:val="none"/>
        </w:rPr>
        <w:t>）双</w:t>
      </w:r>
      <w:r>
        <w:rPr>
          <w:rFonts w:ascii="宋体" w:hAnsi="宋体"/>
          <w:sz w:val="21"/>
          <w:szCs w:val="21"/>
        </w:rPr>
        <w:t>方在</w:t>
      </w:r>
      <w:r>
        <w:rPr>
          <w:rFonts w:hint="eastAsia" w:ascii="宋体" w:hAnsi="宋体"/>
          <w:sz w:val="21"/>
          <w:szCs w:val="21"/>
        </w:rPr>
        <w:t>项目</w:t>
      </w:r>
      <w:r>
        <w:rPr>
          <w:rFonts w:ascii="宋体" w:hAnsi="宋体"/>
          <w:sz w:val="21"/>
          <w:szCs w:val="21"/>
        </w:rPr>
        <w:t>建设过程中的行为，防止各种违法违纪行为的发生，维护双方的合法权益，</w:t>
      </w:r>
      <w:r>
        <w:rPr>
          <w:rFonts w:hint="eastAsia" w:ascii="宋体" w:hAnsi="宋体" w:cs="宋体"/>
          <w:sz w:val="21"/>
          <w:szCs w:val="21"/>
        </w:rPr>
        <w:t>根据《中华人民共和国招投标法》《中华人民共和国政府采购法》等有关法律法规和中纪委、中监委关于廉政建设方面的规定，经双方协商一致，签订本协议。</w:t>
      </w:r>
    </w:p>
    <w:p>
      <w:pPr>
        <w:spacing w:line="288" w:lineRule="auto"/>
        <w:ind w:firstLine="422" w:firstLineChars="200"/>
        <w:rPr>
          <w:rFonts w:ascii="宋体" w:hAnsi="宋体" w:eastAsia="宋体"/>
          <w:b/>
          <w:bCs/>
          <w:color w:val="000000"/>
          <w:szCs w:val="21"/>
        </w:rPr>
      </w:pPr>
      <w:r>
        <w:rPr>
          <w:rFonts w:ascii="宋体" w:hAnsi="宋体" w:eastAsia="宋体"/>
          <w:b/>
          <w:bCs/>
          <w:color w:val="000000"/>
          <w:szCs w:val="21"/>
        </w:rPr>
        <w:t>一、甲乙双方的责任</w:t>
      </w:r>
    </w:p>
    <w:p>
      <w:pPr>
        <w:spacing w:line="288" w:lineRule="auto"/>
        <w:ind w:firstLine="420" w:firstLineChars="200"/>
        <w:rPr>
          <w:rFonts w:ascii="宋体" w:hAnsi="宋体" w:eastAsia="宋体"/>
          <w:color w:val="000000"/>
          <w:szCs w:val="21"/>
        </w:rPr>
      </w:pPr>
      <w:r>
        <w:rPr>
          <w:rFonts w:hint="eastAsia" w:ascii="宋体" w:hAnsi="宋体" w:eastAsia="宋体"/>
          <w:szCs w:val="21"/>
        </w:rPr>
        <w:t>（一）</w:t>
      </w:r>
      <w:r>
        <w:rPr>
          <w:rFonts w:ascii="宋体" w:hAnsi="宋体" w:eastAsia="宋体"/>
          <w:szCs w:val="21"/>
        </w:rPr>
        <w:t>加强日常党风廉政建设和廉洁从业教育，努力提高合同双方执行人员的遵纪守法、廉洁自律意识，</w:t>
      </w:r>
      <w:r>
        <w:rPr>
          <w:rFonts w:ascii="宋体" w:hAnsi="宋体" w:eastAsia="宋体"/>
          <w:color w:val="000000"/>
          <w:szCs w:val="21"/>
        </w:rPr>
        <w:t>严格遵守有关法律、法规、政策和廉政建设的各项规定，严格按合同、</w:t>
      </w:r>
      <w:r>
        <w:rPr>
          <w:rFonts w:hint="eastAsia" w:ascii="宋体" w:hAnsi="宋体" w:eastAsia="宋体"/>
          <w:color w:val="000000"/>
          <w:szCs w:val="21"/>
        </w:rPr>
        <w:t>规定</w:t>
      </w:r>
      <w:r>
        <w:rPr>
          <w:rFonts w:ascii="宋体" w:hAnsi="宋体" w:eastAsia="宋体"/>
          <w:color w:val="000000"/>
          <w:szCs w:val="21"/>
        </w:rPr>
        <w:t>办事。</w:t>
      </w:r>
    </w:p>
    <w:p>
      <w:pPr>
        <w:spacing w:line="288" w:lineRule="auto"/>
        <w:ind w:firstLine="420" w:firstLineChars="200"/>
        <w:rPr>
          <w:rFonts w:ascii="宋体" w:hAnsi="宋体" w:eastAsia="宋体"/>
          <w:color w:val="000000"/>
          <w:szCs w:val="21"/>
        </w:rPr>
      </w:pPr>
      <w:r>
        <w:rPr>
          <w:rFonts w:hint="eastAsia" w:ascii="宋体" w:hAnsi="宋体" w:eastAsia="宋体"/>
          <w:color w:val="000000"/>
          <w:szCs w:val="21"/>
        </w:rPr>
        <w:t>（二）</w:t>
      </w:r>
      <w:r>
        <w:rPr>
          <w:rFonts w:ascii="宋体" w:hAnsi="宋体" w:eastAsia="宋体"/>
          <w:color w:val="000000"/>
          <w:szCs w:val="21"/>
        </w:rPr>
        <w:t>坚持公开、公平、公正、诚信、透明的原则，不得为获取自身不正当利益而损害国家、集体和对方利益。</w:t>
      </w:r>
    </w:p>
    <w:p>
      <w:pPr>
        <w:spacing w:line="288" w:lineRule="auto"/>
        <w:ind w:firstLine="420" w:firstLineChars="200"/>
        <w:rPr>
          <w:rFonts w:ascii="宋体" w:hAnsi="宋体" w:eastAsia="宋体"/>
          <w:color w:val="000000"/>
          <w:szCs w:val="21"/>
        </w:rPr>
      </w:pPr>
      <w:r>
        <w:rPr>
          <w:rFonts w:hint="eastAsia" w:ascii="宋体" w:hAnsi="宋体" w:eastAsia="宋体"/>
          <w:color w:val="000000"/>
          <w:szCs w:val="21"/>
        </w:rPr>
        <w:t>（三）</w:t>
      </w:r>
      <w:r>
        <w:rPr>
          <w:rFonts w:ascii="宋体" w:hAnsi="宋体" w:eastAsia="宋体"/>
          <w:color w:val="000000"/>
          <w:szCs w:val="21"/>
        </w:rPr>
        <w:t>发现对方及其工作人员有违规、违纪、违法倾向或行为的，应及时提醒对方，情节严重的，应及时报告双方纪检监察部门。</w:t>
      </w:r>
    </w:p>
    <w:p>
      <w:pPr>
        <w:spacing w:line="288" w:lineRule="auto"/>
        <w:ind w:firstLine="422" w:firstLineChars="200"/>
        <w:rPr>
          <w:rFonts w:ascii="宋体" w:hAnsi="宋体" w:eastAsia="宋体"/>
          <w:b/>
          <w:bCs/>
          <w:color w:val="000000"/>
          <w:szCs w:val="21"/>
        </w:rPr>
      </w:pPr>
      <w:r>
        <w:rPr>
          <w:rFonts w:ascii="宋体" w:hAnsi="宋体" w:eastAsia="宋体"/>
          <w:b/>
          <w:bCs/>
          <w:color w:val="000000"/>
          <w:szCs w:val="21"/>
        </w:rPr>
        <w:t>二、甲方责任</w:t>
      </w:r>
    </w:p>
    <w:p>
      <w:pPr>
        <w:spacing w:line="288" w:lineRule="auto"/>
        <w:ind w:firstLine="420" w:firstLineChars="200"/>
        <w:rPr>
          <w:rFonts w:ascii="宋体" w:hAnsi="宋体" w:eastAsia="宋体"/>
          <w:szCs w:val="21"/>
        </w:rPr>
      </w:pPr>
      <w:r>
        <w:rPr>
          <w:rFonts w:ascii="宋体" w:hAnsi="宋体" w:eastAsia="宋体"/>
          <w:szCs w:val="21"/>
        </w:rPr>
        <w:t>甲方应加强对本单位工作人员的教育管理，甲方人员：</w:t>
      </w:r>
    </w:p>
    <w:p>
      <w:pPr>
        <w:tabs>
          <w:tab w:val="left" w:pos="0"/>
          <w:tab w:val="left" w:pos="360"/>
          <w:tab w:val="left" w:pos="540"/>
          <w:tab w:val="left" w:pos="720"/>
          <w:tab w:val="left" w:pos="1080"/>
        </w:tabs>
        <w:spacing w:line="288" w:lineRule="auto"/>
        <w:ind w:firstLine="420" w:firstLineChars="200"/>
        <w:rPr>
          <w:rFonts w:ascii="宋体" w:hAnsi="宋体" w:eastAsia="宋体"/>
          <w:szCs w:val="21"/>
        </w:rPr>
      </w:pPr>
      <w:r>
        <w:rPr>
          <w:rFonts w:hint="eastAsia" w:ascii="宋体" w:hAnsi="宋体" w:eastAsia="宋体"/>
          <w:szCs w:val="21"/>
        </w:rPr>
        <w:t>1、</w:t>
      </w:r>
      <w:r>
        <w:rPr>
          <w:rFonts w:ascii="宋体" w:hAnsi="宋体" w:eastAsia="宋体"/>
          <w:szCs w:val="21"/>
        </w:rPr>
        <w:t>不得利用职务之便谋取任何私利，不得索取或收受乙方钱物、各种请客送礼和消费活动以及其他不正当利益；</w:t>
      </w:r>
    </w:p>
    <w:p>
      <w:pPr>
        <w:tabs>
          <w:tab w:val="left" w:pos="0"/>
          <w:tab w:val="left" w:pos="360"/>
          <w:tab w:val="left" w:pos="540"/>
          <w:tab w:val="left" w:pos="720"/>
          <w:tab w:val="left" w:pos="1080"/>
        </w:tabs>
        <w:spacing w:line="288" w:lineRule="auto"/>
        <w:ind w:firstLine="420" w:firstLineChars="200"/>
        <w:rPr>
          <w:rFonts w:ascii="宋体" w:hAnsi="宋体" w:eastAsia="宋体"/>
          <w:szCs w:val="21"/>
        </w:rPr>
      </w:pPr>
      <w:r>
        <w:rPr>
          <w:rFonts w:hint="eastAsia" w:ascii="宋体" w:hAnsi="宋体" w:eastAsia="宋体"/>
          <w:szCs w:val="21"/>
        </w:rPr>
        <w:t>2、</w:t>
      </w:r>
      <w:r>
        <w:rPr>
          <w:rFonts w:ascii="宋体" w:hAnsi="宋体" w:eastAsia="宋体"/>
          <w:szCs w:val="21"/>
        </w:rPr>
        <w:t>不得</w:t>
      </w:r>
      <w:r>
        <w:rPr>
          <w:rFonts w:hint="eastAsia" w:ascii="宋体" w:hAnsi="宋体" w:eastAsia="宋体"/>
          <w:szCs w:val="21"/>
        </w:rPr>
        <w:t>趁机要求乙方</w:t>
      </w:r>
      <w:r>
        <w:rPr>
          <w:rFonts w:ascii="宋体" w:hAnsi="宋体" w:eastAsia="宋体"/>
          <w:szCs w:val="21"/>
        </w:rPr>
        <w:t>为自己</w:t>
      </w:r>
      <w:r>
        <w:rPr>
          <w:rFonts w:hint="eastAsia" w:ascii="宋体" w:hAnsi="宋体" w:eastAsia="宋体"/>
          <w:szCs w:val="21"/>
        </w:rPr>
        <w:t>的</w:t>
      </w:r>
      <w:r>
        <w:rPr>
          <w:rFonts w:ascii="宋体" w:hAnsi="宋体" w:eastAsia="宋体"/>
          <w:szCs w:val="21"/>
        </w:rPr>
        <w:t>亲朋好友</w:t>
      </w:r>
      <w:r>
        <w:rPr>
          <w:rFonts w:hint="eastAsia" w:ascii="宋体" w:hAnsi="宋体" w:eastAsia="宋体"/>
          <w:szCs w:val="21"/>
        </w:rPr>
        <w:t>谋取任何不正当利益</w:t>
      </w:r>
      <w:r>
        <w:rPr>
          <w:rFonts w:ascii="宋体" w:hAnsi="宋体" w:eastAsia="宋体"/>
          <w:szCs w:val="21"/>
        </w:rPr>
        <w:t>。</w:t>
      </w:r>
    </w:p>
    <w:p>
      <w:pPr>
        <w:spacing w:line="288" w:lineRule="auto"/>
        <w:ind w:firstLine="420" w:firstLineChars="200"/>
        <w:rPr>
          <w:rFonts w:ascii="宋体" w:hAnsi="宋体" w:eastAsia="宋体"/>
          <w:szCs w:val="21"/>
        </w:rPr>
      </w:pPr>
      <w:r>
        <w:rPr>
          <w:rFonts w:ascii="宋体" w:hAnsi="宋体" w:eastAsia="宋体"/>
          <w:szCs w:val="21"/>
        </w:rPr>
        <w:t>三、</w:t>
      </w:r>
      <w:r>
        <w:rPr>
          <w:rFonts w:ascii="宋体" w:hAnsi="宋体" w:eastAsia="宋体"/>
          <w:b/>
          <w:bCs/>
          <w:color w:val="000000"/>
          <w:szCs w:val="21"/>
        </w:rPr>
        <w:t>乙方责任</w:t>
      </w:r>
    </w:p>
    <w:p>
      <w:pPr>
        <w:tabs>
          <w:tab w:val="left" w:pos="0"/>
          <w:tab w:val="left" w:pos="360"/>
          <w:tab w:val="left" w:pos="540"/>
          <w:tab w:val="left" w:pos="720"/>
          <w:tab w:val="left" w:pos="1080"/>
        </w:tabs>
        <w:spacing w:line="288" w:lineRule="auto"/>
        <w:ind w:firstLine="420" w:firstLineChars="200"/>
        <w:rPr>
          <w:rFonts w:ascii="宋体" w:hAnsi="宋体" w:eastAsia="宋体"/>
          <w:szCs w:val="21"/>
        </w:rPr>
      </w:pPr>
      <w:r>
        <w:rPr>
          <w:rFonts w:ascii="宋体" w:hAnsi="宋体" w:eastAsia="宋体"/>
          <w:szCs w:val="21"/>
        </w:rPr>
        <w:t>1、乙方应严格按照国家法律和双方签订的合同</w:t>
      </w:r>
      <w:r>
        <w:rPr>
          <w:rFonts w:hint="eastAsia" w:ascii="宋体" w:hAnsi="宋体" w:eastAsia="宋体"/>
          <w:szCs w:val="21"/>
        </w:rPr>
        <w:t>，</w:t>
      </w:r>
      <w:r>
        <w:rPr>
          <w:rFonts w:ascii="宋体" w:hAnsi="宋体" w:eastAsia="宋体"/>
          <w:szCs w:val="21"/>
        </w:rPr>
        <w:t>开展</w:t>
      </w:r>
      <w:r>
        <w:rPr>
          <w:rFonts w:hint="eastAsia" w:ascii="宋体" w:hAnsi="宋体" w:eastAsia="宋体"/>
          <w:szCs w:val="21"/>
        </w:rPr>
        <w:t>项目设计、安装、调试、售后服务等工作</w:t>
      </w:r>
      <w:r>
        <w:rPr>
          <w:rFonts w:ascii="宋体" w:hAnsi="宋体" w:eastAsia="宋体"/>
          <w:szCs w:val="21"/>
        </w:rPr>
        <w:t>，不得为谋求乙方利益而不择手段地向甲方工作人员行贿；</w:t>
      </w:r>
    </w:p>
    <w:p>
      <w:pPr>
        <w:tabs>
          <w:tab w:val="left" w:pos="0"/>
          <w:tab w:val="left" w:pos="360"/>
          <w:tab w:val="left" w:pos="540"/>
          <w:tab w:val="left" w:pos="720"/>
          <w:tab w:val="left" w:pos="1080"/>
        </w:tabs>
        <w:spacing w:line="288" w:lineRule="auto"/>
        <w:ind w:firstLine="420" w:firstLineChars="200"/>
        <w:rPr>
          <w:rFonts w:ascii="宋体" w:hAnsi="宋体" w:eastAsia="宋体"/>
          <w:szCs w:val="21"/>
        </w:rPr>
      </w:pPr>
      <w:r>
        <w:rPr>
          <w:rFonts w:ascii="宋体" w:hAnsi="宋体" w:eastAsia="宋体"/>
          <w:szCs w:val="21"/>
        </w:rPr>
        <w:t>2、乙方应对本单位工作人员进行严格管理，</w:t>
      </w:r>
      <w:r>
        <w:rPr>
          <w:rFonts w:hint="eastAsia" w:ascii="宋体" w:hAnsi="宋体" w:eastAsia="宋体" w:cs="宋体"/>
          <w:szCs w:val="21"/>
        </w:rPr>
        <w:t>对本协议“甲方责任”中严禁甲方人员的行为，</w:t>
      </w:r>
      <w:r>
        <w:rPr>
          <w:rFonts w:ascii="宋体" w:hAnsi="宋体" w:eastAsia="宋体"/>
          <w:szCs w:val="21"/>
        </w:rPr>
        <w:t>不得主动为之</w:t>
      </w:r>
      <w:r>
        <w:rPr>
          <w:rFonts w:hint="eastAsia" w:ascii="宋体" w:hAnsi="宋体" w:eastAsia="宋体"/>
          <w:szCs w:val="21"/>
        </w:rPr>
        <w:t>；</w:t>
      </w:r>
      <w:r>
        <w:rPr>
          <w:rFonts w:ascii="宋体" w:hAnsi="宋体" w:eastAsia="宋体"/>
          <w:szCs w:val="21"/>
        </w:rPr>
        <w:t>对甲方人员索要财物或者暗示的要求应予坚决拒绝，并将信息及时反馈甲方。</w:t>
      </w:r>
    </w:p>
    <w:p>
      <w:pPr>
        <w:spacing w:line="288" w:lineRule="auto"/>
        <w:ind w:firstLine="422" w:firstLineChars="200"/>
        <w:rPr>
          <w:rFonts w:ascii="宋体" w:hAnsi="宋体" w:eastAsia="宋体"/>
          <w:b/>
          <w:bCs/>
          <w:szCs w:val="21"/>
        </w:rPr>
      </w:pPr>
      <w:r>
        <w:rPr>
          <w:rFonts w:ascii="宋体" w:hAnsi="宋体" w:eastAsia="宋体"/>
          <w:b/>
          <w:bCs/>
          <w:szCs w:val="21"/>
        </w:rPr>
        <w:t>四、</w:t>
      </w:r>
      <w:r>
        <w:rPr>
          <w:rFonts w:hint="eastAsia" w:ascii="宋体" w:hAnsi="宋体" w:eastAsia="宋体"/>
          <w:b/>
          <w:bCs/>
          <w:szCs w:val="21"/>
        </w:rPr>
        <w:t>违约责任</w:t>
      </w:r>
    </w:p>
    <w:p>
      <w:pPr>
        <w:spacing w:line="288" w:lineRule="auto"/>
        <w:ind w:firstLine="420" w:firstLineChars="200"/>
        <w:rPr>
          <w:rFonts w:ascii="宋体" w:hAnsi="宋体" w:eastAsia="宋体"/>
          <w:szCs w:val="21"/>
        </w:rPr>
      </w:pPr>
      <w:r>
        <w:rPr>
          <w:rFonts w:hint="eastAsia" w:ascii="宋体" w:hAnsi="宋体" w:eastAsia="宋体"/>
          <w:szCs w:val="21"/>
        </w:rPr>
        <w:t>（一）</w:t>
      </w:r>
      <w:r>
        <w:rPr>
          <w:rFonts w:ascii="宋体" w:hAnsi="宋体" w:eastAsia="宋体"/>
          <w:szCs w:val="21"/>
        </w:rPr>
        <w:t>甲方及其工作人员如有违反本协议的，乙方应向甲方或甲方上级纪检监察部门举报。一经查实，甲方应根据违纪违规事实及情节轻重，给予当事人党纪、政纪处分</w:t>
      </w:r>
      <w:r>
        <w:rPr>
          <w:rFonts w:hint="eastAsia" w:ascii="宋体" w:hAnsi="宋体" w:eastAsia="宋体"/>
          <w:szCs w:val="21"/>
        </w:rPr>
        <w:t>；涉嫌违法的</w:t>
      </w:r>
      <w:r>
        <w:rPr>
          <w:rFonts w:ascii="宋体" w:hAnsi="宋体" w:eastAsia="宋体"/>
          <w:szCs w:val="21"/>
        </w:rPr>
        <w:t>，移送司法部门追究其法律责任。</w:t>
      </w:r>
    </w:p>
    <w:p>
      <w:pPr>
        <w:spacing w:line="288" w:lineRule="auto"/>
        <w:ind w:firstLine="420" w:firstLineChars="200"/>
        <w:rPr>
          <w:rFonts w:ascii="宋体" w:hAnsi="宋体" w:eastAsia="宋体"/>
          <w:color w:val="000000"/>
          <w:szCs w:val="21"/>
        </w:rPr>
      </w:pPr>
      <w:r>
        <w:rPr>
          <w:rFonts w:hint="eastAsia" w:ascii="宋体" w:hAnsi="宋体" w:eastAsia="宋体"/>
          <w:szCs w:val="21"/>
        </w:rPr>
        <w:t>（二）</w:t>
      </w:r>
      <w:r>
        <w:rPr>
          <w:rFonts w:ascii="宋体" w:hAnsi="宋体" w:eastAsia="宋体"/>
          <w:color w:val="000000"/>
          <w:szCs w:val="21"/>
        </w:rPr>
        <w:t>乙方及其工作人员</w:t>
      </w:r>
      <w:r>
        <w:rPr>
          <w:rFonts w:hint="eastAsia" w:ascii="宋体" w:hAnsi="宋体" w:eastAsia="宋体"/>
          <w:color w:val="000000"/>
          <w:szCs w:val="21"/>
        </w:rPr>
        <w:t>如</w:t>
      </w:r>
      <w:r>
        <w:rPr>
          <w:rFonts w:ascii="宋体" w:hAnsi="宋体" w:eastAsia="宋体"/>
          <w:color w:val="000000"/>
          <w:szCs w:val="21"/>
        </w:rPr>
        <w:t>有违反本协议的，甲方有权根据情节和所造成的后果采取以下相应措施：</w:t>
      </w:r>
    </w:p>
    <w:p>
      <w:pPr>
        <w:spacing w:line="288" w:lineRule="auto"/>
        <w:ind w:firstLine="420" w:firstLineChars="200"/>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面谈或书面通知乙方整改、暂停业务往来、终止履行合同，由此给甲方造成经济损失的，乙方应负全额赔偿责任；</w:t>
      </w:r>
    </w:p>
    <w:p>
      <w:pPr>
        <w:spacing w:line="288" w:lineRule="auto"/>
        <w:ind w:firstLine="420" w:firstLineChars="200"/>
        <w:rPr>
          <w:rFonts w:ascii="宋体" w:hAnsi="宋体" w:eastAsia="宋体"/>
          <w:color w:val="000000"/>
          <w:szCs w:val="21"/>
        </w:rPr>
      </w:pPr>
      <w:r>
        <w:rPr>
          <w:rFonts w:hint="eastAsia" w:ascii="宋体" w:hAnsi="宋体" w:eastAsia="宋体"/>
          <w:color w:val="000000"/>
          <w:szCs w:val="21"/>
        </w:rPr>
        <w:t>2、</w:t>
      </w:r>
      <w:r>
        <w:rPr>
          <w:rFonts w:ascii="宋体" w:hAnsi="宋体" w:eastAsia="宋体"/>
          <w:color w:val="000000"/>
          <w:szCs w:val="21"/>
        </w:rPr>
        <w:t>如有诬告行为的，被诬告方有权追究对方的相关法律责任。</w:t>
      </w:r>
    </w:p>
    <w:p>
      <w:pPr>
        <w:spacing w:line="288" w:lineRule="auto"/>
        <w:ind w:firstLine="420" w:firstLineChars="200"/>
        <w:rPr>
          <w:rFonts w:ascii="宋体" w:hAnsi="宋体" w:eastAsia="宋体"/>
          <w:color w:val="000000"/>
          <w:szCs w:val="21"/>
        </w:rPr>
      </w:pPr>
      <w:r>
        <w:rPr>
          <w:rFonts w:hint="eastAsia" w:ascii="宋体" w:hAnsi="宋体" w:eastAsia="宋体" w:cs="Arial"/>
          <w:color w:val="000000"/>
          <w:szCs w:val="21"/>
        </w:rPr>
        <w:t>五、本协议作为主体合</w:t>
      </w:r>
      <w:bookmarkStart w:id="62" w:name="_GoBack"/>
      <w:r>
        <w:rPr>
          <w:rFonts w:hint="eastAsia" w:ascii="宋体" w:hAnsi="宋体" w:eastAsia="宋体" w:cs="Arial"/>
          <w:color w:val="000000"/>
          <w:szCs w:val="21"/>
          <w:highlight w:val="none"/>
        </w:rPr>
        <w:t>同《</w:t>
      </w:r>
      <w:r>
        <w:rPr>
          <w:rFonts w:hint="eastAsia" w:ascii="宋体" w:hAnsi="宋体" w:eastAsia="宋体" w:cs="宋体"/>
          <w:color w:val="000000"/>
          <w:szCs w:val="21"/>
          <w:highlight w:val="none"/>
          <w:u w:val="single"/>
        </w:rPr>
        <w:t xml:space="preserve">                              </w:t>
      </w:r>
      <w:r>
        <w:rPr>
          <w:rFonts w:hint="eastAsia" w:ascii="宋体" w:hAnsi="宋体" w:eastAsia="宋体" w:cs="Arial"/>
          <w:color w:val="000000"/>
          <w:szCs w:val="21"/>
          <w:highlight w:val="none"/>
        </w:rPr>
        <w:t>》的</w:t>
      </w:r>
      <w:bookmarkEnd w:id="62"/>
      <w:r>
        <w:rPr>
          <w:rFonts w:hint="eastAsia" w:ascii="宋体" w:hAnsi="宋体" w:eastAsia="宋体" w:cs="Arial"/>
          <w:color w:val="000000"/>
          <w:szCs w:val="21"/>
        </w:rPr>
        <w:t>附件，</w:t>
      </w:r>
      <w:r>
        <w:rPr>
          <w:rFonts w:ascii="宋体" w:hAnsi="宋体" w:eastAsia="宋体"/>
          <w:color w:val="000000"/>
          <w:szCs w:val="21"/>
        </w:rPr>
        <w:t>与主体合同具有同等法律效力。经双方签署后立即生效。</w:t>
      </w:r>
    </w:p>
    <w:p>
      <w:pPr>
        <w:spacing w:line="288" w:lineRule="auto"/>
        <w:ind w:firstLine="420" w:firstLineChars="200"/>
        <w:rPr>
          <w:rFonts w:ascii="宋体" w:hAnsi="宋体" w:eastAsia="宋体"/>
          <w:color w:val="000000"/>
          <w:szCs w:val="21"/>
        </w:rPr>
      </w:pPr>
      <w:r>
        <w:rPr>
          <w:rFonts w:ascii="宋体" w:hAnsi="宋体" w:eastAsia="宋体"/>
          <w:color w:val="000000"/>
          <w:szCs w:val="21"/>
        </w:rPr>
        <w:t>六、本协议的有效期为双方签署之日起至主体合同终止时止。</w:t>
      </w:r>
    </w:p>
    <w:p>
      <w:pPr>
        <w:spacing w:line="288" w:lineRule="auto"/>
        <w:rPr>
          <w:rFonts w:ascii="宋体" w:hAnsi="宋体" w:eastAsia="宋体"/>
          <w:szCs w:val="21"/>
        </w:rPr>
      </w:pPr>
    </w:p>
    <w:p>
      <w:pPr>
        <w:spacing w:line="288" w:lineRule="auto"/>
        <w:rPr>
          <w:rFonts w:ascii="宋体" w:hAnsi="宋体" w:eastAsia="宋体"/>
          <w:szCs w:val="21"/>
        </w:rPr>
      </w:pPr>
    </w:p>
    <w:p>
      <w:pPr>
        <w:spacing w:line="288" w:lineRule="auto"/>
        <w:ind w:firstLine="420"/>
        <w:rPr>
          <w:rFonts w:ascii="宋体" w:hAnsi="宋体" w:eastAsia="宋体"/>
          <w:szCs w:val="21"/>
        </w:rPr>
      </w:pPr>
      <w:r>
        <w:rPr>
          <w:rFonts w:ascii="宋体" w:hAnsi="宋体" w:eastAsia="宋体"/>
          <w:szCs w:val="21"/>
        </w:rPr>
        <w:t>甲方代表：                    乙方代表：</w:t>
      </w:r>
    </w:p>
    <w:p>
      <w:pPr>
        <w:spacing w:line="288" w:lineRule="auto"/>
        <w:ind w:firstLine="420"/>
        <w:rPr>
          <w:rFonts w:ascii="宋体" w:hAnsi="宋体" w:eastAsia="宋体"/>
          <w:szCs w:val="21"/>
        </w:rPr>
      </w:pPr>
      <w:r>
        <w:rPr>
          <w:rFonts w:ascii="宋体" w:hAnsi="宋体" w:eastAsia="宋体"/>
          <w:szCs w:val="21"/>
        </w:rPr>
        <w:t xml:space="preserve">甲方（签章）：               </w:t>
      </w:r>
      <w:r>
        <w:rPr>
          <w:rFonts w:hint="eastAsia" w:ascii="宋体" w:hAnsi="宋体" w:eastAsia="宋体"/>
          <w:szCs w:val="21"/>
        </w:rPr>
        <w:t xml:space="preserve">  </w:t>
      </w:r>
      <w:r>
        <w:rPr>
          <w:rFonts w:ascii="宋体" w:hAnsi="宋体" w:eastAsia="宋体"/>
          <w:szCs w:val="21"/>
        </w:rPr>
        <w:t>乙方（签章）</w:t>
      </w:r>
      <w:r>
        <w:rPr>
          <w:rFonts w:hint="eastAsia" w:ascii="宋体" w:hAnsi="宋体" w:eastAsia="宋体"/>
          <w:szCs w:val="21"/>
        </w:rPr>
        <w:t>：</w:t>
      </w:r>
    </w:p>
    <w:p>
      <w:pPr>
        <w:spacing w:line="288" w:lineRule="auto"/>
        <w:ind w:firstLine="420"/>
        <w:rPr>
          <w:rFonts w:ascii="宋体" w:hAnsi="宋体" w:eastAsia="宋体"/>
          <w:szCs w:val="21"/>
        </w:rPr>
      </w:pPr>
      <w:r>
        <w:rPr>
          <w:rFonts w:ascii="宋体" w:hAnsi="宋体" w:eastAsia="宋体"/>
          <w:szCs w:val="21"/>
        </w:rPr>
        <w:t>签约日期：                    签约日期</w:t>
      </w:r>
      <w:r>
        <w:rPr>
          <w:rFonts w:hint="eastAsia" w:ascii="宋体" w:hAnsi="宋体" w:eastAsia="宋体"/>
          <w:szCs w:val="21"/>
        </w:rPr>
        <w:t>：</w:t>
      </w: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ind w:firstLine="420" w:firstLineChars="200"/>
        <w:jc w:val="center"/>
        <w:rPr>
          <w:rFonts w:ascii="宋体" w:hAnsi="宋体" w:eastAsia="宋体" w:cs="Times New Roman"/>
          <w:b/>
          <w:sz w:val="32"/>
          <w:szCs w:val="32"/>
        </w:rPr>
      </w:pPr>
      <w:r>
        <w:rPr>
          <w:rFonts w:ascii="宋体" w:hAnsi="宋体" w:eastAsia="宋体" w:cs="宋体"/>
          <w:szCs w:val="21"/>
          <w:lang w:val="zh-CN"/>
        </w:rPr>
        <w:br w:type="page"/>
      </w:r>
    </w:p>
    <w:p>
      <w:pPr>
        <w:adjustRightInd w:val="0"/>
        <w:snapToGrid w:val="0"/>
        <w:spacing w:line="288" w:lineRule="auto"/>
        <w:jc w:val="center"/>
        <w:outlineLvl w:val="0"/>
        <w:rPr>
          <w:rFonts w:ascii="宋体" w:hAnsi="宋体" w:eastAsia="宋体" w:cs="Times New Roman"/>
          <w:sz w:val="28"/>
          <w:szCs w:val="24"/>
        </w:rPr>
      </w:pPr>
      <w:r>
        <w:rPr>
          <w:rFonts w:ascii="宋体" w:hAnsi="宋体" w:eastAsia="宋体" w:cs="Times New Roman"/>
          <w:b/>
          <w:sz w:val="32"/>
          <w:szCs w:val="32"/>
        </w:rPr>
        <w:t>第六章</w:t>
      </w:r>
      <w:r>
        <w:rPr>
          <w:rFonts w:hint="eastAsia" w:ascii="宋体" w:hAnsi="宋体" w:eastAsia="宋体" w:cs="Times New Roman"/>
          <w:b/>
          <w:sz w:val="32"/>
          <w:szCs w:val="32"/>
        </w:rPr>
        <w:t xml:space="preserve">  </w:t>
      </w:r>
      <w:r>
        <w:rPr>
          <w:rFonts w:ascii="宋体" w:hAnsi="宋体" w:eastAsia="宋体" w:cs="Times New Roman"/>
          <w:b/>
          <w:sz w:val="32"/>
          <w:szCs w:val="32"/>
        </w:rPr>
        <w:t>投标文件格式</w:t>
      </w:r>
    </w:p>
    <w:p>
      <w:pPr>
        <w:adjustRightInd w:val="0"/>
        <w:snapToGrid w:val="0"/>
        <w:spacing w:line="288" w:lineRule="auto"/>
        <w:rPr>
          <w:rFonts w:ascii="宋体" w:hAnsi="宋体" w:eastAsia="宋体" w:cs="Times New Roman"/>
          <w:b/>
          <w:bCs/>
          <w:spacing w:val="-6"/>
          <w:sz w:val="24"/>
          <w:szCs w:val="24"/>
        </w:rPr>
      </w:pPr>
    </w:p>
    <w:p>
      <w:pPr>
        <w:adjustRightInd w:val="0"/>
        <w:snapToGrid w:val="0"/>
        <w:spacing w:line="288" w:lineRule="auto"/>
        <w:jc w:val="center"/>
        <w:rPr>
          <w:rFonts w:ascii="宋体" w:hAnsi="宋体" w:eastAsia="宋体" w:cs="Times New Roman"/>
          <w:b/>
          <w:bCs/>
          <w:spacing w:val="-6"/>
          <w:sz w:val="24"/>
          <w:szCs w:val="24"/>
        </w:rPr>
      </w:pPr>
      <w:r>
        <w:rPr>
          <w:rFonts w:hint="eastAsia" w:ascii="宋体" w:hAnsi="宋体" w:eastAsia="宋体" w:cs="Times New Roman"/>
          <w:b/>
          <w:bCs/>
          <w:spacing w:val="-6"/>
          <w:sz w:val="24"/>
          <w:szCs w:val="24"/>
        </w:rPr>
        <w:t xml:space="preserve">目 </w:t>
      </w:r>
      <w:r>
        <w:rPr>
          <w:rFonts w:ascii="宋体" w:hAnsi="宋体" w:eastAsia="宋体" w:cs="Times New Roman"/>
          <w:b/>
          <w:bCs/>
          <w:spacing w:val="-6"/>
          <w:sz w:val="24"/>
          <w:szCs w:val="24"/>
        </w:rPr>
        <w:t xml:space="preserve"> </w:t>
      </w:r>
      <w:r>
        <w:rPr>
          <w:rFonts w:hint="eastAsia" w:ascii="宋体" w:hAnsi="宋体" w:eastAsia="宋体" w:cs="Times New Roman"/>
          <w:b/>
          <w:bCs/>
          <w:spacing w:val="-6"/>
          <w:sz w:val="24"/>
          <w:szCs w:val="24"/>
        </w:rPr>
        <w:t>录</w:t>
      </w:r>
    </w:p>
    <w:p>
      <w:pPr>
        <w:adjustRightInd w:val="0"/>
        <w:snapToGrid w:val="0"/>
        <w:spacing w:line="288" w:lineRule="auto"/>
        <w:rPr>
          <w:rFonts w:ascii="宋体" w:hAnsi="宋体" w:eastAsia="宋体" w:cs="Times New Roman"/>
          <w:b/>
          <w:bCs/>
          <w:spacing w:val="-6"/>
          <w:sz w:val="24"/>
          <w:szCs w:val="24"/>
        </w:rPr>
      </w:pPr>
    </w:p>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cs="Times New Roman"/>
          <w:b/>
          <w:bCs/>
          <w:spacing w:val="-6"/>
          <w:szCs w:val="21"/>
        </w:rPr>
        <w:t>▲</w:t>
      </w:r>
      <w:r>
        <w:rPr>
          <w:rFonts w:ascii="宋体" w:hAnsi="宋体" w:eastAsia="宋体" w:cs="Times New Roman"/>
          <w:b/>
          <w:bCs/>
          <w:spacing w:val="-6"/>
          <w:szCs w:val="21"/>
        </w:rPr>
        <w:t>1</w:t>
      </w:r>
      <w:r>
        <w:rPr>
          <w:rFonts w:hint="eastAsia" w:ascii="宋体" w:hAnsi="宋体" w:eastAsia="宋体" w:cs="Times New Roman"/>
          <w:b/>
          <w:bCs/>
          <w:spacing w:val="-6"/>
          <w:szCs w:val="21"/>
        </w:rPr>
        <w:t>.资格文件（单独上传）。</w:t>
      </w:r>
      <w:r>
        <w:rPr>
          <w:rFonts w:hint="eastAsia" w:ascii="宋体" w:hAnsi="宋体" w:eastAsia="宋体" w:cs="宋体"/>
          <w:b/>
          <w:bCs/>
          <w:szCs w:val="21"/>
        </w:rPr>
        <w:t>资格审查要求的资格证明材料（均需加盖公章）</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（1）有效的法人或者其他组织的营业执照等证明文件，自然人的身份证明</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2）符合参加政府采购活动应当具备的一般条件的承诺函</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3）落实政府采购政策需满足的资格要求：无</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4）</w:t>
      </w:r>
      <w:r>
        <w:rPr>
          <w:rFonts w:hint="eastAsia" w:ascii="宋体" w:hAnsi="宋体" w:eastAsia="宋体" w:cs="宋体"/>
          <w:bCs/>
          <w:spacing w:val="-6"/>
          <w:szCs w:val="21"/>
        </w:rPr>
        <w:t>本项目的特定资格要求证明材料：无</w:t>
      </w:r>
    </w:p>
    <w:p>
      <w:pPr>
        <w:adjustRightInd w:val="0"/>
        <w:snapToGrid w:val="0"/>
        <w:spacing w:line="288" w:lineRule="auto"/>
        <w:ind w:firstLine="420" w:firstLineChars="200"/>
        <w:jc w:val="left"/>
        <w:rPr>
          <w:rFonts w:ascii="宋体" w:hAnsi="宋体" w:eastAsia="宋体" w:cs="宋体"/>
          <w:bCs/>
          <w:spacing w:val="-6"/>
          <w:szCs w:val="21"/>
        </w:rPr>
      </w:pPr>
      <w:r>
        <w:rPr>
          <w:rFonts w:hint="eastAsia" w:ascii="宋体" w:hAnsi="宋体" w:eastAsia="宋体"/>
          <w:bCs/>
          <w:szCs w:val="21"/>
        </w:rPr>
        <w:t>（5）联合协议（以联合体形式投标的，提供联合协议；本项目不接受联合体投标或者投标人不以联合体形式投标的，则不需要提供）</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▲联合体投标的，联合体各方均应提供资格文件（</w:t>
      </w:r>
      <w:r>
        <w:rPr>
          <w:rFonts w:ascii="宋体" w:hAnsi="宋体" w:eastAsia="宋体" w:cs="宋体"/>
          <w:bCs/>
          <w:spacing w:val="-6"/>
          <w:szCs w:val="21"/>
        </w:rPr>
        <w:t>1）</w:t>
      </w:r>
      <w:r>
        <w:rPr>
          <w:rFonts w:hint="eastAsia" w:ascii="宋体" w:hAnsi="宋体" w:eastAsia="宋体" w:cs="宋体"/>
          <w:bCs/>
          <w:spacing w:val="-6"/>
          <w:szCs w:val="21"/>
        </w:rPr>
        <w:t>、</w:t>
      </w:r>
      <w:r>
        <w:rPr>
          <w:rFonts w:ascii="宋体" w:hAnsi="宋体" w:eastAsia="宋体" w:cs="宋体"/>
          <w:bCs/>
          <w:spacing w:val="-6"/>
          <w:szCs w:val="21"/>
        </w:rPr>
        <w:t>（2）</w:t>
      </w:r>
      <w:r>
        <w:rPr>
          <w:rFonts w:hint="eastAsia" w:ascii="宋体" w:hAnsi="宋体" w:eastAsia="宋体" w:cs="宋体"/>
          <w:bCs/>
          <w:spacing w:val="-6"/>
          <w:szCs w:val="21"/>
        </w:rPr>
        <w:t>材料</w:t>
      </w:r>
      <w:r>
        <w:rPr>
          <w:rFonts w:ascii="宋体" w:hAnsi="宋体" w:eastAsia="宋体" w:cs="宋体"/>
          <w:bCs/>
          <w:spacing w:val="-6"/>
          <w:szCs w:val="21"/>
        </w:rPr>
        <w:t>。</w:t>
      </w:r>
    </w:p>
    <w:p>
      <w:pPr>
        <w:adjustRightInd w:val="0"/>
        <w:snapToGrid w:val="0"/>
        <w:spacing w:line="288" w:lineRule="auto"/>
        <w:jc w:val="left"/>
        <w:rPr>
          <w:rFonts w:ascii="宋体" w:hAnsi="宋体" w:eastAsia="宋体" w:cs="宋体"/>
          <w:b/>
          <w:spacing w:val="-6"/>
          <w:szCs w:val="21"/>
        </w:rPr>
      </w:pPr>
    </w:p>
    <w:p>
      <w:pPr>
        <w:adjustRightInd w:val="0"/>
        <w:snapToGrid w:val="0"/>
        <w:spacing w:line="288" w:lineRule="auto"/>
        <w:ind w:firstLine="398" w:firstLineChars="200"/>
        <w:jc w:val="left"/>
        <w:rPr>
          <w:rFonts w:ascii="宋体" w:hAnsi="宋体" w:eastAsia="宋体" w:cs="Times New Roman"/>
          <w:b/>
          <w:bCs/>
          <w:spacing w:val="-6"/>
          <w:szCs w:val="21"/>
        </w:rPr>
      </w:pPr>
      <w:r>
        <w:rPr>
          <w:rFonts w:ascii="宋体" w:hAnsi="宋体" w:eastAsia="宋体" w:cs="Times New Roman"/>
          <w:b/>
          <w:spacing w:val="-6"/>
          <w:szCs w:val="21"/>
        </w:rPr>
        <w:t>2</w:t>
      </w:r>
      <w:r>
        <w:rPr>
          <w:rFonts w:hint="eastAsia" w:ascii="宋体" w:hAnsi="宋体" w:eastAsia="宋体" w:cs="Times New Roman"/>
          <w:b/>
          <w:spacing w:val="-6"/>
          <w:szCs w:val="21"/>
        </w:rPr>
        <w:t>.商务和</w:t>
      </w:r>
      <w:r>
        <w:rPr>
          <w:rFonts w:hint="eastAsia" w:ascii="宋体" w:hAnsi="宋体" w:eastAsia="宋体" w:cs="Times New Roman"/>
          <w:b/>
          <w:bCs/>
          <w:spacing w:val="-6"/>
          <w:szCs w:val="21"/>
        </w:rPr>
        <w:t>技术文件（单独上传）</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（1）投标函</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2）授权委托书</w:t>
      </w:r>
      <w:r>
        <w:rPr>
          <w:rFonts w:hint="eastAsia" w:ascii="宋体" w:hAnsi="宋体" w:eastAsia="宋体" w:cs="Times New Roman"/>
          <w:spacing w:val="-6"/>
          <w:szCs w:val="21"/>
        </w:rPr>
        <w:t>/法定代表人（单位负责人、自然人本人）身份证明</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附：授权代表社保缴纳证明（2023年7月（含）以后任意一月）</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）投标人同类合同一览表</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4</w:t>
      </w:r>
      <w:r>
        <w:rPr>
          <w:rFonts w:hint="eastAsia" w:ascii="宋体" w:hAnsi="宋体" w:eastAsia="宋体" w:cs="宋体"/>
          <w:spacing w:val="-6"/>
          <w:szCs w:val="21"/>
        </w:rPr>
        <w:t>）采购需求偏离表</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5</w:t>
      </w:r>
      <w:r>
        <w:rPr>
          <w:rFonts w:hint="eastAsia" w:ascii="宋体" w:hAnsi="宋体" w:eastAsia="宋体" w:cs="宋体"/>
          <w:spacing w:val="-6"/>
          <w:szCs w:val="21"/>
        </w:rPr>
        <w:t>）</w:t>
      </w:r>
      <w:r>
        <w:rPr>
          <w:rFonts w:hint="eastAsia" w:ascii="宋体" w:hAnsi="宋体" w:eastAsia="宋体" w:cs="宋体"/>
          <w:szCs w:val="21"/>
        </w:rPr>
        <w:t>货物配置清单</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6</w:t>
      </w:r>
      <w:r>
        <w:rPr>
          <w:rFonts w:hint="eastAsia" w:ascii="宋体" w:hAnsi="宋体" w:eastAsia="宋体" w:cs="宋体"/>
          <w:spacing w:val="-6"/>
          <w:szCs w:val="21"/>
        </w:rPr>
        <w:t>）技术方案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7</w:t>
      </w:r>
      <w:r>
        <w:rPr>
          <w:rFonts w:hint="eastAsia" w:ascii="宋体" w:hAnsi="宋体" w:eastAsia="宋体" w:cs="宋体"/>
          <w:spacing w:val="-6"/>
          <w:szCs w:val="21"/>
        </w:rPr>
        <w:t>）项目实施</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8</w:t>
      </w:r>
      <w:r>
        <w:rPr>
          <w:rFonts w:hint="eastAsia" w:ascii="宋体" w:hAnsi="宋体" w:eastAsia="宋体" w:cs="宋体"/>
          <w:spacing w:val="-6"/>
          <w:szCs w:val="21"/>
        </w:rPr>
        <w:t>）技术培训</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9</w:t>
      </w:r>
      <w:r>
        <w:rPr>
          <w:rFonts w:hint="eastAsia" w:ascii="宋体" w:hAnsi="宋体" w:eastAsia="宋体" w:cs="宋体"/>
          <w:spacing w:val="-6"/>
          <w:szCs w:val="21"/>
        </w:rPr>
        <w:t>）售后服务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）投标人需要说明的其他文件和材料</w:t>
      </w:r>
    </w:p>
    <w:p>
      <w:pPr>
        <w:adjustRightInd w:val="0"/>
        <w:snapToGrid w:val="0"/>
        <w:spacing w:line="288" w:lineRule="auto"/>
        <w:jc w:val="left"/>
        <w:rPr>
          <w:rFonts w:ascii="宋体" w:hAnsi="宋体" w:eastAsia="宋体" w:cs="Times New Roman"/>
          <w:b/>
          <w:spacing w:val="-6"/>
          <w:szCs w:val="21"/>
        </w:rPr>
      </w:pPr>
    </w:p>
    <w:p>
      <w:pPr>
        <w:adjustRightInd w:val="0"/>
        <w:snapToGrid w:val="0"/>
        <w:spacing w:line="288" w:lineRule="auto"/>
        <w:ind w:firstLine="398" w:firstLineChars="200"/>
        <w:jc w:val="left"/>
        <w:rPr>
          <w:rFonts w:ascii="宋体" w:hAnsi="宋体" w:eastAsia="宋体" w:cs="Times New Roman"/>
          <w:b/>
          <w:spacing w:val="-6"/>
          <w:szCs w:val="21"/>
        </w:rPr>
      </w:pPr>
      <w:r>
        <w:rPr>
          <w:rFonts w:ascii="宋体" w:hAnsi="宋体" w:eastAsia="宋体" w:cs="Times New Roman"/>
          <w:b/>
          <w:spacing w:val="-6"/>
          <w:szCs w:val="21"/>
        </w:rPr>
        <w:t>3.</w:t>
      </w:r>
      <w:r>
        <w:rPr>
          <w:rFonts w:hint="eastAsia" w:ascii="宋体" w:hAnsi="宋体" w:eastAsia="宋体" w:cs="Times New Roman"/>
          <w:b/>
          <w:spacing w:val="-6"/>
          <w:szCs w:val="21"/>
        </w:rPr>
        <w:t>报价文件</w:t>
      </w:r>
      <w:r>
        <w:rPr>
          <w:rFonts w:hint="eastAsia" w:ascii="宋体" w:hAnsi="宋体" w:eastAsia="宋体" w:cs="Times New Roman"/>
          <w:b/>
          <w:bCs/>
          <w:spacing w:val="-6"/>
          <w:szCs w:val="21"/>
        </w:rPr>
        <w:t>（单独上传）</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（1）开标一览表</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）中小企业声明函</w:t>
      </w:r>
      <w:bookmarkStart w:id="56" w:name="_Hlk81815656"/>
      <w:r>
        <w:rPr>
          <w:rFonts w:hint="eastAsia" w:ascii="宋体" w:hAnsi="宋体" w:eastAsia="宋体" w:cs="Times New Roman"/>
          <w:spacing w:val="-6"/>
          <w:szCs w:val="21"/>
        </w:rPr>
        <w:t>（若属于中小企业）</w:t>
      </w:r>
      <w:bookmarkEnd w:id="56"/>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）属于监狱企业的证明文件</w:t>
      </w:r>
      <w:bookmarkStart w:id="57" w:name="_Hlk81815359"/>
      <w:r>
        <w:rPr>
          <w:rFonts w:hint="eastAsia" w:ascii="宋体" w:hAnsi="宋体" w:eastAsia="宋体" w:cs="Times New Roman"/>
          <w:spacing w:val="-6"/>
          <w:szCs w:val="21"/>
        </w:rPr>
        <w:t>（若属于监狱企业）</w:t>
      </w:r>
      <w:bookmarkEnd w:id="57"/>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4</w:t>
      </w:r>
      <w:r>
        <w:rPr>
          <w:rFonts w:hint="eastAsia" w:ascii="宋体" w:hAnsi="宋体" w:eastAsia="宋体" w:cs="Times New Roman"/>
          <w:spacing w:val="-6"/>
          <w:szCs w:val="21"/>
        </w:rPr>
        <w:t>）</w:t>
      </w:r>
      <w:bookmarkStart w:id="58" w:name="OLE_LINK13"/>
      <w:bookmarkStart w:id="59" w:name="OLE_LINK14"/>
      <w:r>
        <w:rPr>
          <w:rFonts w:hint="eastAsia" w:ascii="宋体" w:hAnsi="宋体" w:eastAsia="宋体" w:cs="Times New Roman"/>
          <w:spacing w:val="-6"/>
          <w:szCs w:val="21"/>
        </w:rPr>
        <w:t>残疾人福利性单位声明函</w:t>
      </w:r>
      <w:bookmarkEnd w:id="58"/>
      <w:bookmarkEnd w:id="59"/>
      <w:bookmarkStart w:id="60" w:name="_Hlk81815372"/>
      <w:r>
        <w:rPr>
          <w:rFonts w:hint="eastAsia" w:ascii="宋体" w:hAnsi="宋体" w:eastAsia="宋体" w:cs="Times New Roman"/>
          <w:spacing w:val="-6"/>
          <w:szCs w:val="21"/>
        </w:rPr>
        <w:t>（若属于残疾人福利性单位）</w:t>
      </w:r>
      <w:bookmarkEnd w:id="60"/>
    </w:p>
    <w:p>
      <w:pPr>
        <w:widowControl/>
        <w:adjustRightInd w:val="0"/>
        <w:snapToGrid w:val="0"/>
        <w:spacing w:line="288" w:lineRule="auto"/>
        <w:jc w:val="left"/>
        <w:rPr>
          <w:rFonts w:ascii="宋体" w:hAnsi="宋体" w:eastAsia="宋体" w:cs="Times New Roman"/>
          <w:b/>
          <w:spacing w:val="-6"/>
          <w:szCs w:val="21"/>
        </w:rPr>
      </w:pPr>
      <w:r>
        <w:rPr>
          <w:rFonts w:ascii="宋体" w:hAnsi="宋体" w:eastAsia="宋体" w:cs="Times New Roman"/>
          <w:b/>
          <w:spacing w:val="-6"/>
          <w:szCs w:val="21"/>
        </w:rPr>
        <w:br w:type="page"/>
      </w:r>
    </w:p>
    <w:p>
      <w:pPr>
        <w:tabs>
          <w:tab w:val="center" w:pos="4706"/>
        </w:tabs>
        <w:adjustRightInd w:val="0"/>
        <w:snapToGrid w:val="0"/>
        <w:spacing w:line="288" w:lineRule="auto"/>
        <w:jc w:val="center"/>
        <w:outlineLvl w:val="2"/>
        <w:rPr>
          <w:rFonts w:ascii="宋体" w:hAnsi="宋体" w:eastAsia="宋体" w:cs="Times New Roman"/>
          <w:b/>
          <w:spacing w:val="-6"/>
          <w:szCs w:val="21"/>
        </w:rPr>
      </w:pPr>
      <w:r>
        <w:rPr>
          <w:rFonts w:hint="eastAsia" w:ascii="宋体" w:hAnsi="宋体" w:eastAsia="宋体" w:cs="Times New Roman"/>
          <w:b/>
          <w:spacing w:val="-6"/>
          <w:szCs w:val="21"/>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b/>
                <w:spacing w:val="-6"/>
                <w:szCs w:val="21"/>
              </w:rPr>
            </w:pPr>
            <w:r>
              <w:rPr>
                <w:rFonts w:hint="eastAsia" w:ascii="宋体" w:hAnsi="宋体" w:eastAsia="宋体" w:cs="Times New Roman"/>
                <w:b/>
                <w:spacing w:val="-6"/>
                <w:szCs w:val="21"/>
              </w:rPr>
              <w:t>序号</w:t>
            </w:r>
          </w:p>
        </w:tc>
        <w:tc>
          <w:tcPr>
            <w:tcW w:w="2091" w:type="dxa"/>
            <w:vAlign w:val="center"/>
          </w:tcPr>
          <w:p>
            <w:pPr>
              <w:adjustRightInd w:val="0"/>
              <w:snapToGrid w:val="0"/>
              <w:spacing w:line="288" w:lineRule="auto"/>
              <w:jc w:val="center"/>
              <w:rPr>
                <w:rFonts w:ascii="宋体" w:hAnsi="宋体" w:eastAsia="宋体" w:cs="Times New Roman"/>
                <w:b/>
                <w:spacing w:val="-6"/>
                <w:szCs w:val="21"/>
              </w:rPr>
            </w:pPr>
            <w:r>
              <w:rPr>
                <w:rFonts w:hint="eastAsia" w:ascii="宋体" w:hAnsi="宋体" w:eastAsia="宋体" w:cs="Times New Roman"/>
                <w:b/>
                <w:spacing w:val="-6"/>
                <w:szCs w:val="21"/>
              </w:rPr>
              <w:t>评审因素</w:t>
            </w:r>
          </w:p>
        </w:tc>
        <w:tc>
          <w:tcPr>
            <w:tcW w:w="709" w:type="dxa"/>
            <w:vAlign w:val="center"/>
          </w:tcPr>
          <w:p>
            <w:pPr>
              <w:adjustRightInd w:val="0"/>
              <w:snapToGrid w:val="0"/>
              <w:spacing w:line="288" w:lineRule="auto"/>
              <w:jc w:val="center"/>
              <w:rPr>
                <w:rFonts w:ascii="宋体" w:hAnsi="宋体" w:eastAsia="宋体" w:cs="Times New Roman"/>
                <w:b/>
                <w:spacing w:val="-6"/>
                <w:szCs w:val="21"/>
              </w:rPr>
            </w:pPr>
            <w:r>
              <w:rPr>
                <w:rFonts w:hint="eastAsia" w:ascii="宋体" w:hAnsi="宋体" w:eastAsia="宋体" w:cs="Times New Roman"/>
                <w:b/>
                <w:spacing w:val="-6"/>
                <w:szCs w:val="21"/>
              </w:rPr>
              <w:t>分值</w:t>
            </w:r>
          </w:p>
        </w:tc>
        <w:tc>
          <w:tcPr>
            <w:tcW w:w="3040" w:type="dxa"/>
            <w:vAlign w:val="center"/>
          </w:tcPr>
          <w:p>
            <w:pPr>
              <w:tabs>
                <w:tab w:val="left" w:pos="1418"/>
              </w:tabs>
              <w:adjustRightInd w:val="0"/>
              <w:snapToGrid w:val="0"/>
              <w:spacing w:line="288" w:lineRule="auto"/>
              <w:ind w:firstLine="398"/>
              <w:jc w:val="center"/>
              <w:rPr>
                <w:rFonts w:ascii="宋体" w:hAnsi="宋体" w:eastAsia="宋体" w:cs="Times New Roman"/>
                <w:b/>
                <w:spacing w:val="-6"/>
                <w:kern w:val="0"/>
                <w:szCs w:val="21"/>
              </w:rPr>
            </w:pPr>
            <w:r>
              <w:rPr>
                <w:rFonts w:ascii="宋体" w:hAnsi="宋体" w:eastAsia="宋体" w:cs="Times New Roman"/>
                <w:b/>
                <w:spacing w:val="-6"/>
                <w:kern w:val="0"/>
                <w:szCs w:val="21"/>
              </w:rPr>
              <w:t>评分标准</w:t>
            </w:r>
          </w:p>
        </w:tc>
        <w:tc>
          <w:tcPr>
            <w:tcW w:w="967" w:type="dxa"/>
            <w:vAlign w:val="center"/>
          </w:tcPr>
          <w:p>
            <w:pPr>
              <w:tabs>
                <w:tab w:val="left" w:pos="1418"/>
              </w:tabs>
              <w:adjustRightInd w:val="0"/>
              <w:snapToGrid w:val="0"/>
              <w:spacing w:line="288" w:lineRule="auto"/>
              <w:jc w:val="center"/>
              <w:rPr>
                <w:rFonts w:ascii="宋体" w:hAnsi="宋体" w:eastAsia="宋体" w:cs="Times New Roman"/>
                <w:b/>
                <w:spacing w:val="-6"/>
                <w:kern w:val="0"/>
                <w:szCs w:val="21"/>
              </w:rPr>
            </w:pPr>
            <w:r>
              <w:rPr>
                <w:rFonts w:ascii="宋体" w:hAnsi="宋体" w:eastAsia="宋体" w:cs="Times New Roman"/>
                <w:b/>
                <w:spacing w:val="-6"/>
                <w:kern w:val="0"/>
                <w:szCs w:val="21"/>
              </w:rPr>
              <w:t>自评分</w:t>
            </w:r>
          </w:p>
        </w:tc>
        <w:tc>
          <w:tcPr>
            <w:tcW w:w="1053" w:type="dxa"/>
            <w:vAlign w:val="center"/>
          </w:tcPr>
          <w:p>
            <w:pPr>
              <w:tabs>
                <w:tab w:val="left" w:pos="1418"/>
              </w:tabs>
              <w:adjustRightInd w:val="0"/>
              <w:snapToGrid w:val="0"/>
              <w:spacing w:line="288" w:lineRule="auto"/>
              <w:jc w:val="center"/>
              <w:rPr>
                <w:rFonts w:ascii="宋体" w:hAnsi="宋体" w:eastAsia="宋体" w:cs="Times New Roman"/>
                <w:b/>
                <w:spacing w:val="-6"/>
                <w:kern w:val="0"/>
                <w:szCs w:val="21"/>
              </w:rPr>
            </w:pPr>
            <w:r>
              <w:rPr>
                <w:rFonts w:ascii="宋体" w:hAnsi="宋体" w:eastAsia="宋体" w:cs="Times New Roman"/>
                <w:b/>
                <w:spacing w:val="-6"/>
                <w:kern w:val="0"/>
                <w:szCs w:val="21"/>
              </w:rPr>
              <w:t>自评依据</w:t>
            </w:r>
          </w:p>
        </w:tc>
        <w:tc>
          <w:tcPr>
            <w:tcW w:w="881" w:type="dxa"/>
            <w:vAlign w:val="center"/>
          </w:tcPr>
          <w:p>
            <w:pPr>
              <w:tabs>
                <w:tab w:val="left" w:pos="1418"/>
              </w:tabs>
              <w:adjustRightInd w:val="0"/>
              <w:snapToGrid w:val="0"/>
              <w:spacing w:line="288" w:lineRule="auto"/>
              <w:jc w:val="center"/>
              <w:rPr>
                <w:rFonts w:ascii="宋体" w:hAnsi="宋体" w:eastAsia="宋体" w:cs="Times New Roman"/>
                <w:b/>
                <w:spacing w:val="-6"/>
                <w:kern w:val="0"/>
                <w:szCs w:val="21"/>
              </w:rPr>
            </w:pPr>
            <w:r>
              <w:rPr>
                <w:rFonts w:ascii="宋体" w:hAnsi="宋体" w:eastAsia="宋体" w:cs="Times New Roman"/>
                <w:b/>
                <w:spacing w:val="-6"/>
                <w:kern w:val="0"/>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tabs>
                <w:tab w:val="left" w:pos="1418"/>
              </w:tabs>
              <w:adjustRightInd w:val="0"/>
              <w:snapToGrid w:val="0"/>
              <w:spacing w:line="288" w:lineRule="auto"/>
              <w:jc w:val="center"/>
              <w:rPr>
                <w:rFonts w:ascii="宋体" w:hAnsi="宋体" w:eastAsia="宋体" w:cs="Times New Roman"/>
                <w:b/>
                <w:spacing w:val="-6"/>
                <w:kern w:val="0"/>
                <w:szCs w:val="21"/>
              </w:rPr>
            </w:pPr>
            <w:r>
              <w:rPr>
                <w:rFonts w:ascii="宋体" w:hAnsi="宋体" w:eastAsia="宋体" w:cs="Times New Roman"/>
                <w:b/>
                <w:spacing w:val="-6"/>
                <w:kern w:val="0"/>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kern w:val="0"/>
                <w:szCs w:val="21"/>
              </w:rPr>
            </w:pPr>
          </w:p>
        </w:tc>
        <w:tc>
          <w:tcPr>
            <w:tcW w:w="2091" w:type="dxa"/>
            <w:vAlign w:val="center"/>
          </w:tcPr>
          <w:p>
            <w:pPr>
              <w:adjustRightInd w:val="0"/>
              <w:snapToGrid w:val="0"/>
              <w:spacing w:line="288" w:lineRule="auto"/>
              <w:jc w:val="center"/>
              <w:rPr>
                <w:rFonts w:ascii="宋体" w:hAnsi="宋体" w:eastAsia="宋体" w:cs="Times New Roman"/>
                <w:kern w:val="0"/>
                <w:szCs w:val="21"/>
              </w:rPr>
            </w:pPr>
          </w:p>
        </w:tc>
        <w:tc>
          <w:tcPr>
            <w:tcW w:w="709" w:type="dxa"/>
            <w:vAlign w:val="center"/>
          </w:tcPr>
          <w:p>
            <w:pPr>
              <w:adjustRightInd w:val="0"/>
              <w:snapToGrid w:val="0"/>
              <w:spacing w:line="288" w:lineRule="auto"/>
              <w:jc w:val="center"/>
              <w:rPr>
                <w:rFonts w:ascii="宋体" w:hAnsi="宋体" w:eastAsia="宋体" w:cs="Times New Roman"/>
                <w:kern w:val="0"/>
                <w:szCs w:val="21"/>
              </w:rPr>
            </w:pPr>
          </w:p>
        </w:tc>
        <w:tc>
          <w:tcPr>
            <w:tcW w:w="3040" w:type="dxa"/>
            <w:vAlign w:val="center"/>
          </w:tcPr>
          <w:p>
            <w:pPr>
              <w:adjustRightInd w:val="0"/>
              <w:snapToGrid w:val="0"/>
              <w:spacing w:line="288" w:lineRule="auto"/>
              <w:rPr>
                <w:rFonts w:ascii="宋体" w:hAnsi="宋体" w:eastAsia="宋体" w:cs="Times New Roman"/>
                <w:kern w:val="0"/>
                <w:szCs w:val="21"/>
              </w:rPr>
            </w:pPr>
          </w:p>
        </w:tc>
        <w:tc>
          <w:tcPr>
            <w:tcW w:w="967" w:type="dxa"/>
            <w:vAlign w:val="center"/>
          </w:tcPr>
          <w:p>
            <w:pPr>
              <w:adjustRightInd w:val="0"/>
              <w:snapToGrid w:val="0"/>
              <w:spacing w:line="288" w:lineRule="auto"/>
              <w:jc w:val="center"/>
              <w:rPr>
                <w:rFonts w:ascii="宋体" w:hAnsi="宋体" w:eastAsia="宋体" w:cs="Times New Roman"/>
                <w:szCs w:val="21"/>
              </w:rPr>
            </w:pPr>
          </w:p>
        </w:tc>
        <w:tc>
          <w:tcPr>
            <w:tcW w:w="1053" w:type="dxa"/>
            <w:vAlign w:val="center"/>
          </w:tcPr>
          <w:p>
            <w:pPr>
              <w:adjustRightInd w:val="0"/>
              <w:snapToGrid w:val="0"/>
              <w:spacing w:line="288" w:lineRule="auto"/>
              <w:jc w:val="center"/>
              <w:rPr>
                <w:rFonts w:ascii="宋体" w:hAnsi="宋体" w:eastAsia="宋体" w:cs="Times New Roman"/>
                <w:szCs w:val="21"/>
              </w:rPr>
            </w:pPr>
          </w:p>
        </w:tc>
        <w:tc>
          <w:tcPr>
            <w:tcW w:w="881" w:type="dxa"/>
          </w:tcPr>
          <w:p>
            <w:pPr>
              <w:adjustRightInd w:val="0"/>
              <w:snapToGrid w:val="0"/>
              <w:spacing w:line="288" w:lineRule="auto"/>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adjustRightInd w:val="0"/>
              <w:snapToGrid w:val="0"/>
              <w:spacing w:line="288" w:lineRule="auto"/>
              <w:jc w:val="center"/>
              <w:rPr>
                <w:rFonts w:ascii="宋体" w:hAnsi="宋体" w:eastAsia="宋体" w:cs="Times New Roman"/>
                <w:b/>
                <w:spacing w:val="-6"/>
                <w:szCs w:val="21"/>
              </w:rPr>
            </w:pPr>
            <w:r>
              <w:rPr>
                <w:rFonts w:hint="eastAsia" w:ascii="宋体" w:hAnsi="宋体" w:eastAsia="宋体" w:cs="Times New Roman"/>
                <w:b/>
                <w:spacing w:val="-6"/>
                <w:szCs w:val="21"/>
              </w:rPr>
              <w:t>技术</w:t>
            </w:r>
            <w:r>
              <w:rPr>
                <w:rFonts w:ascii="宋体" w:hAnsi="宋体" w:eastAsia="宋体" w:cs="Times New Roman"/>
                <w:b/>
                <w:spacing w:val="-6"/>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bl>
    <w:p>
      <w:pPr>
        <w:adjustRightInd w:val="0"/>
        <w:snapToGrid w:val="0"/>
        <w:spacing w:line="288" w:lineRule="auto"/>
        <w:rPr>
          <w:rFonts w:ascii="宋体" w:hAnsi="宋体" w:eastAsia="宋体" w:cs="Times New Roman"/>
          <w:spacing w:val="-6"/>
          <w:szCs w:val="21"/>
        </w:rPr>
      </w:pPr>
    </w:p>
    <w:p>
      <w:pPr>
        <w:widowControl/>
        <w:jc w:val="left"/>
        <w:rPr>
          <w:rFonts w:ascii="宋体" w:hAnsi="宋体" w:eastAsia="宋体" w:cs="Times New Roman"/>
          <w:spacing w:val="-6"/>
          <w:szCs w:val="21"/>
        </w:rPr>
      </w:pPr>
      <w:r>
        <w:rPr>
          <w:rFonts w:hint="eastAsia" w:ascii="宋体" w:hAnsi="宋体" w:eastAsia="宋体" w:cs="Times New Roman"/>
          <w:spacing w:val="-6"/>
          <w:szCs w:val="21"/>
        </w:rPr>
        <w:t>备注：本表仅为方便评标委员会评审使用，不作为判别投标文件是否有效的依据。</w:t>
      </w:r>
    </w:p>
    <w:p>
      <w:pPr>
        <w:widowControl/>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jc w:val="center"/>
        <w:outlineLvl w:val="1"/>
        <w:rPr>
          <w:rFonts w:ascii="宋体" w:hAnsi="宋体" w:eastAsia="宋体" w:cs="Times New Roman"/>
          <w:b/>
          <w:spacing w:val="-6"/>
          <w:sz w:val="84"/>
          <w:szCs w:val="84"/>
        </w:rPr>
      </w:pPr>
      <w:r>
        <w:rPr>
          <w:rFonts w:hint="eastAsia" w:ascii="宋体" w:hAnsi="宋体" w:eastAsia="宋体" w:cs="Times New Roman"/>
          <w:b/>
          <w:spacing w:val="-6"/>
          <w:sz w:val="84"/>
          <w:szCs w:val="84"/>
        </w:rPr>
        <w:t>资格文件</w:t>
      </w:r>
    </w:p>
    <w:p>
      <w:pPr>
        <w:adjustRightInd w:val="0"/>
        <w:snapToGrid w:val="0"/>
        <w:spacing w:line="288" w:lineRule="auto"/>
        <w:jc w:val="center"/>
        <w:rPr>
          <w:rFonts w:ascii="宋体" w:hAnsi="宋体" w:eastAsia="宋体" w:cs="宋体"/>
          <w:b/>
          <w:bCs/>
          <w:sz w:val="24"/>
          <w:szCs w:val="24"/>
        </w:rPr>
      </w:pPr>
    </w:p>
    <w:p>
      <w:pPr>
        <w:adjustRightInd w:val="0"/>
        <w:snapToGrid w:val="0"/>
        <w:spacing w:line="288" w:lineRule="auto"/>
        <w:jc w:val="center"/>
        <w:rPr>
          <w:rFonts w:ascii="宋体" w:hAnsi="宋体" w:eastAsia="宋体" w:cs="宋体"/>
          <w:b/>
          <w:bCs/>
          <w:sz w:val="24"/>
          <w:szCs w:val="24"/>
        </w:rPr>
      </w:pPr>
    </w:p>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资格审查要求的资格证明材料（均需加盖公章）</w:t>
      </w: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rPr>
          <w:rFonts w:ascii="宋体" w:hAnsi="宋体" w:eastAsia="宋体" w:cs="宋体"/>
          <w:b/>
          <w:spacing w:val="-6"/>
          <w:szCs w:val="21"/>
        </w:rPr>
      </w:pPr>
    </w:p>
    <w:p>
      <w:pPr>
        <w:adjustRightInd w:val="0"/>
        <w:snapToGrid w:val="0"/>
        <w:spacing w:line="288" w:lineRule="auto"/>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）有效的法人或者其他组织的营业执照等证明文件，自然人的身份证明</w:t>
      </w:r>
      <w:r>
        <w:rPr>
          <w:rFonts w:hint="eastAsia" w:ascii="宋体" w:hAnsi="宋体" w:eastAsia="宋体" w:cs="Times New Roman"/>
          <w:b/>
          <w:spacing w:val="-6"/>
          <w:szCs w:val="21"/>
        </w:rPr>
        <w:t>（扫描件）</w:t>
      </w:r>
    </w:p>
    <w:p>
      <w:pPr>
        <w:adjustRightInd w:val="0"/>
        <w:snapToGrid w:val="0"/>
        <w:spacing w:line="288" w:lineRule="auto"/>
        <w:rPr>
          <w:rFonts w:ascii="宋体" w:hAnsi="宋体" w:eastAsia="宋体" w:cs="Times New Roman"/>
          <w:bCs/>
          <w:spacing w:val="-6"/>
          <w:szCs w:val="21"/>
        </w:rPr>
      </w:pPr>
    </w:p>
    <w:p>
      <w:pPr>
        <w:adjustRightInd w:val="0"/>
        <w:snapToGrid w:val="0"/>
        <w:spacing w:line="288" w:lineRule="auto"/>
        <w:rPr>
          <w:rFonts w:ascii="宋体" w:hAnsi="宋体" w:eastAsia="宋体" w:cs="Times New Roman"/>
          <w:bCs/>
          <w:spacing w:val="-6"/>
          <w:szCs w:val="21"/>
        </w:rPr>
      </w:pPr>
      <w:r>
        <w:rPr>
          <w:rFonts w:hint="eastAsia" w:ascii="宋体" w:hAnsi="宋体" w:eastAsia="宋体" w:cs="Times New Roman"/>
          <w:bCs/>
          <w:spacing w:val="-6"/>
          <w:szCs w:val="21"/>
        </w:rPr>
        <w:t>说明</w:t>
      </w:r>
      <w:r>
        <w:rPr>
          <w:rFonts w:ascii="宋体" w:hAnsi="宋体" w:eastAsia="宋体" w:cs="Times New Roman"/>
          <w:bCs/>
          <w:spacing w:val="-6"/>
          <w:szCs w:val="21"/>
        </w:rPr>
        <w:t>：</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1</w:t>
      </w:r>
      <w:r>
        <w:rPr>
          <w:rFonts w:ascii="宋体" w:hAnsi="宋体" w:eastAsia="宋体" w:cs="Times New Roman"/>
          <w:bCs/>
          <w:spacing w:val="-6"/>
          <w:szCs w:val="21"/>
        </w:rPr>
        <w:t>.</w:t>
      </w:r>
      <w:r>
        <w:rPr>
          <w:rFonts w:hint="eastAsia" w:ascii="宋体" w:hAnsi="宋体" w:eastAsia="宋体" w:cs="Times New Roman"/>
          <w:bCs/>
          <w:spacing w:val="-6"/>
          <w:szCs w:val="21"/>
        </w:rPr>
        <w:t>如投标人是企业（包括合伙企业），提供在工商部门注册的有效“企业法人营业执照”或“营业执照”；</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2</w:t>
      </w:r>
      <w:r>
        <w:rPr>
          <w:rFonts w:ascii="宋体" w:hAnsi="宋体" w:eastAsia="宋体" w:cs="Times New Roman"/>
          <w:bCs/>
          <w:spacing w:val="-6"/>
          <w:szCs w:val="21"/>
        </w:rPr>
        <w:t>.</w:t>
      </w:r>
      <w:r>
        <w:rPr>
          <w:rFonts w:hint="eastAsia" w:ascii="宋体" w:hAnsi="宋体" w:eastAsia="宋体" w:cs="Times New Roman"/>
          <w:bCs/>
          <w:spacing w:val="-6"/>
          <w:szCs w:val="21"/>
        </w:rPr>
        <w:t>如投标人是事业单位，提供有效的“事业单位法人证书”；</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3</w:t>
      </w:r>
      <w:r>
        <w:rPr>
          <w:rFonts w:ascii="宋体" w:hAnsi="宋体" w:eastAsia="宋体" w:cs="Times New Roman"/>
          <w:bCs/>
          <w:spacing w:val="-6"/>
          <w:szCs w:val="21"/>
        </w:rPr>
        <w:t>.</w:t>
      </w:r>
      <w:r>
        <w:rPr>
          <w:rFonts w:hint="eastAsia" w:ascii="宋体" w:hAnsi="宋体" w:eastAsia="宋体" w:cs="Times New Roman"/>
          <w:bCs/>
          <w:spacing w:val="-6"/>
          <w:szCs w:val="21"/>
        </w:rPr>
        <w:t>如投标人是非企业专业服务机构的，提供执业许可证等证明文件；</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4</w:t>
      </w:r>
      <w:r>
        <w:rPr>
          <w:rFonts w:ascii="宋体" w:hAnsi="宋体" w:eastAsia="宋体" w:cs="Times New Roman"/>
          <w:bCs/>
          <w:spacing w:val="-6"/>
          <w:szCs w:val="21"/>
        </w:rPr>
        <w:t>.</w:t>
      </w:r>
      <w:r>
        <w:rPr>
          <w:rFonts w:hint="eastAsia" w:ascii="宋体" w:hAnsi="宋体" w:eastAsia="宋体" w:cs="Times New Roman"/>
          <w:bCs/>
          <w:spacing w:val="-6"/>
          <w:szCs w:val="21"/>
        </w:rPr>
        <w:t>如投标人是个体工商户，提供有效的“个体工商户营业执照”；</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5</w:t>
      </w:r>
      <w:r>
        <w:rPr>
          <w:rFonts w:ascii="宋体" w:hAnsi="宋体" w:eastAsia="宋体" w:cs="Times New Roman"/>
          <w:bCs/>
          <w:spacing w:val="-6"/>
          <w:szCs w:val="21"/>
        </w:rPr>
        <w:t>.</w:t>
      </w:r>
      <w:r>
        <w:rPr>
          <w:rFonts w:hint="eastAsia" w:ascii="宋体" w:hAnsi="宋体" w:eastAsia="宋体" w:cs="Times New Roman"/>
          <w:bCs/>
          <w:spacing w:val="-6"/>
          <w:szCs w:val="21"/>
        </w:rPr>
        <w:t>如投标人是自然人，提供有效的自然人身份证明。</w:t>
      </w:r>
    </w:p>
    <w:p>
      <w:pPr>
        <w:adjustRightInd w:val="0"/>
        <w:snapToGrid w:val="0"/>
        <w:spacing w:line="288" w:lineRule="auto"/>
        <w:jc w:val="center"/>
        <w:outlineLvl w:val="2"/>
        <w:rPr>
          <w:rFonts w:ascii="宋体" w:hAnsi="宋体" w:eastAsia="宋体" w:cs="宋体"/>
          <w:b/>
          <w:spacing w:val="-6"/>
          <w:szCs w:val="21"/>
        </w:rPr>
      </w:pPr>
      <w:r>
        <w:rPr>
          <w:rFonts w:ascii="宋体" w:hAnsi="宋体" w:eastAsia="宋体" w:cs="Times New Roman"/>
          <w:bCs/>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2）符合参加政府采购活动应当具备的一般条件的承诺函</w:t>
      </w:r>
    </w:p>
    <w:p>
      <w:pPr>
        <w:adjustRightInd w:val="0"/>
        <w:snapToGrid w:val="0"/>
        <w:spacing w:line="288" w:lineRule="auto"/>
        <w:rPr>
          <w:rFonts w:ascii="宋体" w:hAnsi="宋体" w:eastAsia="宋体" w:cs="Times New Roman"/>
          <w:b/>
          <w:bCs/>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致：浙江机电职业技术学院、浙江求是招标代理有限公司</w:t>
      </w:r>
    </w:p>
    <w:p>
      <w:pPr>
        <w:adjustRightInd w:val="0"/>
        <w:snapToGrid w:val="0"/>
        <w:spacing w:line="288" w:lineRule="auto"/>
        <w:ind w:firstLine="396" w:firstLineChars="200"/>
        <w:rPr>
          <w:rFonts w:ascii="宋体" w:hAnsi="宋体" w:eastAsia="宋体" w:cs="Times New Roman"/>
          <w:spacing w:val="-6"/>
          <w:szCs w:val="21"/>
        </w:rPr>
      </w:pP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我方</w:t>
      </w:r>
      <w:r>
        <w:rPr>
          <w:rFonts w:hint="eastAsia" w:ascii="宋体" w:hAnsi="宋体" w:eastAsia="宋体" w:cs="Times New Roman"/>
          <w:spacing w:val="-6"/>
          <w:szCs w:val="21"/>
          <w:u w:val="single"/>
        </w:rPr>
        <w:t xml:space="preserve">（投标人名称）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参加</w:t>
      </w:r>
      <w:r>
        <w:rPr>
          <w:rFonts w:hint="eastAsia" w:ascii="宋体" w:hAnsi="宋体" w:eastAsia="宋体" w:cs="Times New Roman"/>
          <w:spacing w:val="-6"/>
          <w:szCs w:val="21"/>
          <w:u w:val="single"/>
        </w:rPr>
        <w:t xml:space="preserve">（项目名称）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hint="eastAsia" w:ascii="宋体" w:hAnsi="宋体" w:eastAsia="宋体" w:cs="Times New Roman"/>
          <w:spacing w:val="-6"/>
          <w:szCs w:val="21"/>
        </w:rPr>
        <w:t>项目的采购活动并承诺如下：</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一、我方满足《中华人民共和国政府采购法》第二十二条规定：</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（一）具有独立承担民事责任的能力；</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（二）具有良好的商业信誉和健全的财务会计制度；</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（三）具有履行合同所必需的设备和专业技术能力；</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（四）有依法缴纳税收和社会保障资金的良好记录；</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（五）参加本项目政府采购活动前三年内，在经营活动中</w:t>
      </w:r>
      <w:r>
        <w:rPr>
          <w:rFonts w:hint="eastAsia" w:ascii="宋体" w:hAnsi="宋体" w:eastAsia="宋体" w:cs="Times New Roman"/>
          <w:b/>
          <w:spacing w:val="-6"/>
          <w:szCs w:val="21"/>
          <w:u w:val="single"/>
        </w:rPr>
        <w:t xml:space="preserve">  没有  </w:t>
      </w:r>
      <w:r>
        <w:rPr>
          <w:rFonts w:hint="eastAsia" w:ascii="宋体" w:hAnsi="宋体" w:eastAsia="宋体" w:cs="Times New Roman"/>
          <w:spacing w:val="-6"/>
          <w:szCs w:val="21"/>
        </w:rPr>
        <w:t>重大违法记录。（重大违法记录是指投标人因违法经营受到刑事处罚或者责令停产停业、吊销许可证或者执照、较大数额罚款等行政处罚）</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（六）法律、行政法规规定的其他条件。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二、未被信用中国（www.creditchina.gov.cn）</w:t>
      </w:r>
      <w:r>
        <w:rPr>
          <w:rFonts w:ascii="宋体" w:hAnsi="宋体" w:eastAsia="宋体" w:cs="Times New Roman"/>
          <w:spacing w:val="-6"/>
          <w:szCs w:val="21"/>
        </w:rPr>
        <w:t>、中国政府采购网（www.ccgp.gov.cn）列入失信被执行人、重大税收违法案件当事人名单、政府采购严重违法失信行为记录名单。</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三、不存在以下情况：</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单位负责人为同一人或者存在直接控股、管理关系的不同供应商参加同一合同项下的政府采购活动的；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为采购项目提供整体设计、规范编制或者项目管理、监理、检测等服务后再参加该采购项目的其他采购活动的。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四、</w:t>
      </w:r>
      <w:r>
        <w:rPr>
          <w:rFonts w:ascii="宋体" w:hAnsi="宋体" w:eastAsia="宋体" w:cs="Times New Roman"/>
          <w:spacing w:val="-6"/>
          <w:szCs w:val="21"/>
        </w:rPr>
        <w:t>以上事项如有虚假或隐瞒，我方愿意承担一切后果和责任。</w:t>
      </w:r>
    </w:p>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widowControl/>
        <w:adjustRightInd w:val="0"/>
        <w:snapToGrid w:val="0"/>
        <w:spacing w:line="288" w:lineRule="auto"/>
        <w:jc w:val="left"/>
        <w:rPr>
          <w:rFonts w:ascii="宋体" w:hAnsi="宋体" w:eastAsia="宋体" w:cs="宋体"/>
          <w:b/>
          <w:spacing w:val="-6"/>
          <w:szCs w:val="21"/>
        </w:rPr>
      </w:pP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jc w:val="left"/>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3）落实政府采购政策需满足的资格要求：无</w:t>
      </w:r>
    </w:p>
    <w:p>
      <w:pPr>
        <w:adjustRightInd w:val="0"/>
        <w:snapToGrid w:val="0"/>
        <w:spacing w:line="288" w:lineRule="auto"/>
        <w:jc w:val="left"/>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）本项目的特定资格要求证明材料：无</w:t>
      </w:r>
    </w:p>
    <w:p>
      <w:pPr>
        <w:pStyle w:val="94"/>
        <w:rPr>
          <w:rStyle w:val="59"/>
        </w:rPr>
      </w:pPr>
    </w:p>
    <w:p>
      <w:pPr>
        <w:pStyle w:val="94"/>
        <w:rPr>
          <w:rStyle w:val="59"/>
        </w:rPr>
      </w:pPr>
    </w:p>
    <w:p>
      <w:pPr>
        <w:pStyle w:val="94"/>
        <w:rPr>
          <w:rStyle w:val="59"/>
        </w:rPr>
      </w:pPr>
    </w:p>
    <w:p>
      <w:pPr>
        <w:pStyle w:val="94"/>
        <w:rPr>
          <w:rStyle w:val="59"/>
        </w:rPr>
      </w:pPr>
    </w:p>
    <w:p>
      <w:pPr>
        <w:pStyle w:val="94"/>
        <w:rPr>
          <w:rStyle w:val="59"/>
        </w:rPr>
      </w:pPr>
    </w:p>
    <w:p>
      <w:pPr>
        <w:adjustRightInd w:val="0"/>
        <w:snapToGrid w:val="0"/>
        <w:spacing w:line="288" w:lineRule="auto"/>
        <w:jc w:val="left"/>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5）联合协议（以联合体形式投标的，提供联合协议；本项目不接受联合体投标或者投标人不以联合体形式投标的，则不需要提供）</w:t>
      </w:r>
    </w:p>
    <w:p>
      <w:pPr>
        <w:adjustRightInd w:val="0"/>
        <w:snapToGrid w:val="0"/>
        <w:spacing w:line="288" w:lineRule="auto"/>
        <w:rPr>
          <w:rFonts w:ascii="宋体" w:hAnsi="宋体" w:eastAsia="宋体" w:cs="Times New Roman"/>
          <w:b/>
          <w:spacing w:val="-6"/>
          <w:szCs w:val="21"/>
        </w:rPr>
      </w:pPr>
      <w:r>
        <w:rPr>
          <w:rFonts w:ascii="宋体" w:hAnsi="宋体" w:eastAsia="宋体" w:cs="Times New Roman"/>
          <w:b/>
          <w:spacing w:val="-6"/>
          <w:szCs w:val="21"/>
        </w:rPr>
        <w:br w:type="page"/>
      </w:r>
    </w:p>
    <w:p>
      <w:pPr>
        <w:overflowPunct w:val="0"/>
        <w:adjustRightInd w:val="0"/>
        <w:snapToGrid w:val="0"/>
        <w:spacing w:line="288" w:lineRule="auto"/>
        <w:jc w:val="center"/>
        <w:outlineLvl w:val="1"/>
        <w:rPr>
          <w:rFonts w:ascii="宋体" w:hAnsi="宋体" w:eastAsia="宋体" w:cs="Times New Roman"/>
          <w:bCs/>
          <w:spacing w:val="-6"/>
          <w:sz w:val="84"/>
          <w:szCs w:val="84"/>
        </w:rPr>
      </w:pPr>
      <w:r>
        <w:rPr>
          <w:rFonts w:hint="eastAsia" w:ascii="宋体" w:hAnsi="宋体" w:eastAsia="宋体" w:cs="Times New Roman"/>
          <w:b/>
          <w:spacing w:val="-6"/>
          <w:sz w:val="84"/>
          <w:szCs w:val="84"/>
        </w:rPr>
        <w:t>商务和技术文件</w:t>
      </w: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（1）投标函</w:t>
      </w: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致：浙江机电职业技术学院、浙江求是招标代理有限公司</w:t>
      </w:r>
    </w:p>
    <w:p>
      <w:pPr>
        <w:adjustRightInd w:val="0"/>
        <w:snapToGrid w:val="0"/>
        <w:spacing w:line="288" w:lineRule="auto"/>
        <w:ind w:firstLine="396" w:firstLineChars="200"/>
        <w:rPr>
          <w:rFonts w:ascii="宋体" w:hAnsi="宋体" w:eastAsia="宋体" w:cs="Times New Roman"/>
          <w:spacing w:val="-6"/>
          <w:szCs w:val="21"/>
          <w:highlight w:val="cyan"/>
        </w:rPr>
      </w:pP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我方参加</w:t>
      </w:r>
      <w:r>
        <w:rPr>
          <w:rFonts w:hint="eastAsia" w:ascii="宋体" w:hAnsi="宋体" w:eastAsia="宋体" w:cs="Times New Roman"/>
          <w:bCs/>
          <w:spacing w:val="-6"/>
          <w:szCs w:val="21"/>
          <w:u w:val="single"/>
        </w:rPr>
        <w:t>浙江机电职业技术学院两校区交换机更新与安全性能提升</w:t>
      </w:r>
      <w:r>
        <w:rPr>
          <w:rFonts w:hint="eastAsia" w:ascii="宋体" w:hAnsi="宋体" w:eastAsia="宋体" w:cs="Times New Roman"/>
          <w:spacing w:val="-6"/>
          <w:szCs w:val="21"/>
          <w:u w:val="single"/>
        </w:rPr>
        <w:t>（项目编号</w:t>
      </w:r>
      <w:r>
        <w:rPr>
          <w:rFonts w:hint="eastAsia" w:ascii="宋体" w:hAnsi="宋体" w:eastAsia="宋体" w:cs="Times New Roman"/>
          <w:bCs/>
          <w:spacing w:val="-6"/>
          <w:szCs w:val="21"/>
          <w:u w:val="single"/>
        </w:rPr>
        <w:t>：QSZB-Z(H)-C23467(GK)</w:t>
      </w:r>
      <w:r>
        <w:rPr>
          <w:rFonts w:hint="eastAsia" w:ascii="宋体" w:hAnsi="宋体" w:eastAsia="宋体" w:cs="Times New Roman"/>
          <w:spacing w:val="-6"/>
          <w:szCs w:val="21"/>
          <w:u w:val="single"/>
        </w:rPr>
        <w:t>）</w:t>
      </w:r>
      <w:r>
        <w:rPr>
          <w:rFonts w:hint="eastAsia" w:ascii="宋体" w:hAnsi="宋体" w:eastAsia="宋体" w:cs="Times New Roman"/>
          <w:spacing w:val="-6"/>
          <w:szCs w:val="21"/>
        </w:rPr>
        <w:t>项目，为此，我方提交电子加密投标文件一份、以介质（U盘）存储的数据电文形式的</w:t>
      </w:r>
      <w:r>
        <w:rPr>
          <w:rFonts w:hint="eastAsia" w:ascii="宋体" w:hAnsi="宋体" w:eastAsia="宋体" w:cs="Times New Roman"/>
          <w:spacing w:val="-6"/>
          <w:szCs w:val="21"/>
          <w:u w:val="single"/>
        </w:rPr>
        <w:t xml:space="preserve">备份投标文件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份</w:t>
      </w:r>
      <w:r>
        <w:rPr>
          <w:rFonts w:hint="eastAsia" w:ascii="宋体" w:hAnsi="宋体" w:eastAsia="宋体" w:cs="Times New Roman"/>
          <w:spacing w:val="-6"/>
          <w:szCs w:val="21"/>
        </w:rPr>
        <w:t>。宣布同意如下：</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我方已详细审查全部“招标文件”，包括修改文件（如有）以及全部参考资料和有关附件，已经了解我方对于招标文件、招标过程、中标结果有依法进行询问、质疑、投诉的权利及相关渠道和要求。</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w:t>
      </w:r>
      <w:r>
        <w:rPr>
          <w:rFonts w:hint="eastAsia" w:ascii="宋体" w:hAnsi="宋体" w:eastAsia="宋体" w:cs="Times New Roman"/>
          <w:spacing w:val="-6"/>
          <w:szCs w:val="21"/>
        </w:rPr>
        <w:t>我方在投标之前已经与贵方进行了充分的沟通，完全理解并接受招标文件的各项规定和要求，对招标文件的合理性、合法性不再有异议。</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投标有效期自提交投标文件的截止之日起</w:t>
      </w:r>
      <w:r>
        <w:rPr>
          <w:rFonts w:hint="eastAsia" w:ascii="宋体" w:hAnsi="宋体" w:eastAsia="宋体" w:cs="Times New Roman"/>
          <w:bCs/>
          <w:spacing w:val="-6"/>
          <w:szCs w:val="21"/>
          <w:u w:val="single"/>
        </w:rPr>
        <w:t xml:space="preserve"> 90</w:t>
      </w:r>
      <w:r>
        <w:rPr>
          <w:rFonts w:ascii="宋体" w:hAnsi="宋体" w:eastAsia="宋体" w:cs="Times New Roman"/>
          <w:bCs/>
          <w:spacing w:val="-6"/>
          <w:szCs w:val="21"/>
          <w:u w:val="single"/>
        </w:rPr>
        <w:t xml:space="preserve"> </w:t>
      </w:r>
      <w:r>
        <w:rPr>
          <w:rFonts w:hint="eastAsia" w:ascii="宋体" w:hAnsi="宋体" w:eastAsia="宋体" w:cs="Times New Roman"/>
          <w:spacing w:val="-6"/>
          <w:szCs w:val="21"/>
        </w:rPr>
        <w:t>天。</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w:t>
      </w:r>
      <w:r>
        <w:rPr>
          <w:rFonts w:ascii="宋体" w:hAnsi="宋体" w:eastAsia="宋体" w:cs="Times New Roman"/>
          <w:spacing w:val="-6"/>
          <w:szCs w:val="21"/>
        </w:rPr>
        <w:t>.</w:t>
      </w:r>
      <w:r>
        <w:rPr>
          <w:rFonts w:hint="eastAsia" w:ascii="宋体" w:hAnsi="宋体" w:eastAsia="宋体" w:cs="Times New Roman"/>
          <w:spacing w:val="-6"/>
          <w:szCs w:val="21"/>
        </w:rPr>
        <w:t>如中标，本投标文件至本项目合同履行完毕止均保持有效，我方将按“招标文件”及政府采购法律、法规的规定履行合同责任和义务。关于代理服务费，我方承诺按照招标文件的规定履行并承担相应的责任。</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我方同意按照贵方要求提供与投标有关的一切数据或资料。</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6</w:t>
      </w:r>
      <w:r>
        <w:rPr>
          <w:rFonts w:ascii="宋体" w:hAnsi="宋体" w:eastAsia="宋体" w:cs="Times New Roman"/>
          <w:spacing w:val="-6"/>
          <w:szCs w:val="21"/>
        </w:rPr>
        <w:t>.</w:t>
      </w:r>
      <w:r>
        <w:rPr>
          <w:rFonts w:hint="eastAsia" w:ascii="宋体" w:hAnsi="宋体" w:eastAsia="宋体" w:cs="Times New Roman"/>
          <w:spacing w:val="-6"/>
          <w:szCs w:val="21"/>
        </w:rPr>
        <w:t>与本投标有关的一切正式往来信函联系：</w:t>
      </w:r>
    </w:p>
    <w:tbl>
      <w:tblPr>
        <w:tblStyle w:val="2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联系人：</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职务：</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手机：</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电子邮箱：</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地址：</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开户银行：</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银行账号：</w:t>
            </w:r>
          </w:p>
        </w:tc>
        <w:tc>
          <w:tcPr>
            <w:tcW w:w="6808" w:type="dxa"/>
          </w:tcPr>
          <w:p>
            <w:pPr>
              <w:adjustRightInd w:val="0"/>
              <w:snapToGrid w:val="0"/>
              <w:spacing w:line="288" w:lineRule="auto"/>
              <w:rPr>
                <w:rFonts w:ascii="宋体" w:hAnsi="宋体" w:eastAsia="宋体" w:cs="Times New Roman"/>
                <w:spacing w:val="-6"/>
                <w:szCs w:val="21"/>
              </w:rPr>
            </w:pPr>
          </w:p>
        </w:tc>
      </w:tr>
    </w:tbl>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widowControl/>
        <w:adjustRightInd w:val="0"/>
        <w:snapToGrid w:val="0"/>
        <w:spacing w:line="288" w:lineRule="auto"/>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ind w:firstLine="498" w:firstLineChars="236"/>
        <w:jc w:val="center"/>
        <w:outlineLvl w:val="2"/>
        <w:rPr>
          <w:rFonts w:ascii="宋体" w:hAnsi="宋体" w:eastAsia="宋体" w:cs="Times New Roman"/>
          <w:b/>
          <w:bCs/>
          <w:szCs w:val="21"/>
        </w:rPr>
      </w:pPr>
      <w:r>
        <w:rPr>
          <w:rFonts w:hint="eastAsia" w:ascii="宋体" w:hAnsi="宋体" w:eastAsia="宋体" w:cs="Times New Roman"/>
          <w:b/>
          <w:bCs/>
          <w:szCs w:val="21"/>
        </w:rPr>
        <w:t>（</w:t>
      </w:r>
      <w:r>
        <w:rPr>
          <w:rFonts w:ascii="宋体" w:hAnsi="宋体" w:eastAsia="宋体" w:cs="Times New Roman"/>
          <w:b/>
          <w:bCs/>
          <w:szCs w:val="21"/>
        </w:rPr>
        <w:t>2</w:t>
      </w:r>
      <w:r>
        <w:rPr>
          <w:rFonts w:hint="eastAsia" w:ascii="宋体" w:hAnsi="宋体" w:eastAsia="宋体" w:cs="Times New Roman"/>
          <w:b/>
          <w:bCs/>
          <w:szCs w:val="21"/>
        </w:rPr>
        <w:t>）授权委托书</w:t>
      </w:r>
    </w:p>
    <w:p>
      <w:pPr>
        <w:adjustRightInd w:val="0"/>
        <w:snapToGrid w:val="0"/>
        <w:spacing w:line="288" w:lineRule="auto"/>
        <w:rPr>
          <w:rFonts w:ascii="宋体" w:hAnsi="宋体" w:eastAsia="宋体" w:cs="Times New Roman"/>
          <w:b/>
          <w:bCs/>
          <w:spacing w:val="-6"/>
          <w:szCs w:val="21"/>
        </w:rPr>
      </w:pP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致：浙江机电职业技术学院、浙江求是招标代理有限公司</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现授权委托：</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（授权代表姓名）（身份证号码：</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，手机：</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）以我方的名义参加</w:t>
      </w:r>
      <w:r>
        <w:rPr>
          <w:rFonts w:hint="eastAsia" w:ascii="宋体" w:hAnsi="宋体" w:eastAsia="宋体" w:cs="Times New Roman"/>
          <w:bCs/>
          <w:spacing w:val="-6"/>
          <w:szCs w:val="21"/>
        </w:rPr>
        <w:t>浙江机电职业技术学院两校区交换机更新与安全性能提升项目（项目编号：</w:t>
      </w:r>
      <w:r>
        <w:rPr>
          <w:rFonts w:ascii="宋体" w:hAnsi="宋体" w:eastAsia="宋体" w:cs="Times New Roman"/>
          <w:bCs/>
          <w:spacing w:val="-6"/>
          <w:szCs w:val="21"/>
        </w:rPr>
        <w:t>QSZB-Z(H)-C23467(GK)</w:t>
      </w:r>
      <w:r>
        <w:rPr>
          <w:rFonts w:hint="eastAsia" w:ascii="宋体" w:hAnsi="宋体" w:eastAsia="宋体" w:cs="Times New Roman"/>
          <w:bCs/>
          <w:spacing w:val="-6"/>
          <w:szCs w:val="21"/>
        </w:rPr>
        <w:t>）</w:t>
      </w:r>
      <w:r>
        <w:rPr>
          <w:rFonts w:hint="eastAsia" w:ascii="宋体" w:hAnsi="宋体" w:eastAsia="宋体" w:cs="Times New Roman"/>
          <w:spacing w:val="-6"/>
          <w:szCs w:val="21"/>
        </w:rPr>
        <w:t>的投标活动，并代表我方全权办理针对上述项目的投标、开标、评标、签约等具体事务和签署相关文件。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我方对被授权人的签名负全部责任。</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在撤销授权的书面通知以前，本授权书一直有效。被授权人在授权书有效期内签署的所有文件不因授权的撤销而失效。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被授权人无转委托权，特此告知。</w:t>
      </w:r>
    </w:p>
    <w:p>
      <w:pPr>
        <w:adjustRightInd w:val="0"/>
        <w:snapToGrid w:val="0"/>
        <w:spacing w:line="288" w:lineRule="auto"/>
        <w:ind w:firstLine="368" w:firstLineChars="186"/>
        <w:rPr>
          <w:rFonts w:ascii="宋体" w:hAnsi="宋体" w:eastAsia="宋体" w:cs="Times New Roman"/>
          <w:spacing w:val="-6"/>
          <w:szCs w:val="21"/>
          <w:u w:val="single"/>
        </w:rPr>
      </w:pPr>
      <w:r>
        <w:rPr>
          <w:rFonts w:hint="eastAsia" w:ascii="宋体" w:hAnsi="宋体" w:eastAsia="宋体" w:cs="Times New Roman"/>
          <w:spacing w:val="-6"/>
          <w:szCs w:val="21"/>
          <w:u w:val="single"/>
        </w:rPr>
        <w:t>▲提供授权代表社保缴纳证明（2023年7月（含）以后任意一月）。</w:t>
      </w: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注：</w:t>
      </w:r>
    </w:p>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1、投标人委派不在本单位缴纳社保的人员作为授权代表的，应当在投标文件中，说明具体原因、授权代表缴纳社保的单位，并附列该授权代表缴纳社保清单。</w:t>
      </w:r>
    </w:p>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2、投标人是联合体的，联合体各成员均应在“授权委托书”上盖章（电子签名</w:t>
      </w:r>
      <w:r>
        <w:rPr>
          <w:rFonts w:ascii="宋体" w:hAnsi="宋体" w:eastAsia="宋体" w:cs="Times New Roman"/>
          <w:szCs w:val="21"/>
        </w:rPr>
        <w:t>/公章）</w:t>
      </w:r>
      <w:r>
        <w:rPr>
          <w:rFonts w:hint="eastAsia" w:ascii="宋体" w:hAnsi="宋体" w:eastAsia="宋体" w:cs="Times New Roman"/>
          <w:szCs w:val="21"/>
        </w:rPr>
        <w:t>。</w:t>
      </w:r>
    </w:p>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szCs w:val="21"/>
        </w:rPr>
      </w:pPr>
    </w:p>
    <w:p>
      <w:pPr>
        <w:adjustRightInd w:val="0"/>
        <w:snapToGrid w:val="0"/>
        <w:spacing w:line="288" w:lineRule="auto"/>
        <w:jc w:val="center"/>
        <w:outlineLvl w:val="2"/>
        <w:rPr>
          <w:rFonts w:ascii="宋体" w:hAnsi="宋体" w:eastAsia="宋体" w:cs="Times New Roman"/>
          <w:b/>
          <w:bCs/>
          <w:spacing w:val="-6"/>
          <w:szCs w:val="21"/>
        </w:rPr>
      </w:pPr>
      <w:r>
        <w:rPr>
          <w:rFonts w:hint="eastAsia" w:ascii="宋体" w:hAnsi="宋体" w:eastAsia="宋体" w:cs="Times New Roman"/>
          <w:b/>
          <w:bCs/>
          <w:szCs w:val="21"/>
        </w:rPr>
        <w:t>（2）法定代表人（单位负责人、自然人本人）</w:t>
      </w:r>
      <w:r>
        <w:rPr>
          <w:rFonts w:hint="eastAsia" w:ascii="宋体" w:hAnsi="宋体" w:eastAsia="宋体" w:cs="Times New Roman"/>
          <w:b/>
          <w:bCs/>
          <w:spacing w:val="-6"/>
          <w:szCs w:val="21"/>
        </w:rPr>
        <w:t>身份证明</w:t>
      </w:r>
    </w:p>
    <w:p>
      <w:pPr>
        <w:adjustRightInd w:val="0"/>
        <w:snapToGrid w:val="0"/>
        <w:spacing w:line="288" w:lineRule="auto"/>
        <w:ind w:firstLine="495" w:firstLineChars="236"/>
        <w:jc w:val="center"/>
        <w:rPr>
          <w:rFonts w:ascii="宋体" w:hAnsi="宋体" w:eastAsia="宋体" w:cs="Times New Roman"/>
          <w:szCs w:val="21"/>
        </w:rPr>
      </w:pPr>
      <w:r>
        <w:rPr>
          <w:rFonts w:hint="eastAsia" w:ascii="宋体" w:hAnsi="宋体" w:eastAsia="宋体" w:cs="Times New Roman"/>
          <w:szCs w:val="21"/>
        </w:rPr>
        <w:t>（适用于：法定代表人（单位负责人、自然人本人）</w:t>
      </w:r>
      <w:r>
        <w:rPr>
          <w:rFonts w:hint="eastAsia" w:ascii="宋体" w:hAnsi="宋体" w:eastAsia="宋体" w:cs="Times New Roman"/>
          <w:spacing w:val="-6"/>
          <w:szCs w:val="21"/>
        </w:rPr>
        <w:t>代表投标人参加投标</w:t>
      </w:r>
      <w:r>
        <w:rPr>
          <w:rFonts w:hint="eastAsia" w:ascii="宋体" w:hAnsi="宋体" w:eastAsia="宋体" w:cs="Times New Roman"/>
          <w:szCs w:val="21"/>
        </w:rPr>
        <w:t>）</w:t>
      </w:r>
    </w:p>
    <w:p>
      <w:pPr>
        <w:adjustRightInd w:val="0"/>
        <w:snapToGrid w:val="0"/>
        <w:spacing w:line="288" w:lineRule="auto"/>
        <w:jc w:val="left"/>
        <w:rPr>
          <w:rFonts w:ascii="宋体" w:hAnsi="宋体" w:eastAsia="宋体" w:cs="Times New Roman"/>
          <w:szCs w:val="21"/>
        </w:rPr>
      </w:pPr>
      <w:r>
        <w:rPr>
          <w:rFonts w:hint="eastAsia" w:ascii="宋体" w:hAnsi="宋体" w:eastAsia="宋体" w:cs="宋体"/>
          <w:bCs/>
          <w:szCs w:val="21"/>
        </w:rPr>
        <w:t>身份证件复印件</w:t>
      </w:r>
    </w:p>
    <w:tbl>
      <w:tblPr>
        <w:tblStyle w:val="1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pPr>
              <w:adjustRightInd w:val="0"/>
              <w:snapToGrid w:val="0"/>
              <w:spacing w:line="288" w:lineRule="auto"/>
              <w:rPr>
                <w:rFonts w:ascii="宋体" w:hAnsi="宋体" w:eastAsia="宋体" w:cs="宋体"/>
                <w:bCs/>
                <w:szCs w:val="21"/>
              </w:rPr>
            </w:pPr>
            <w:r>
              <w:rPr>
                <w:rFonts w:hint="eastAsia" w:ascii="宋体" w:hAnsi="宋体" w:eastAsia="宋体" w:cs="宋体"/>
                <w:bCs/>
                <w:szCs w:val="21"/>
              </w:rPr>
              <w:t>正面：</w:t>
            </w:r>
          </w:p>
        </w:tc>
        <w:tc>
          <w:tcPr>
            <w:tcW w:w="4951" w:type="dxa"/>
          </w:tcPr>
          <w:p>
            <w:pPr>
              <w:adjustRightInd w:val="0"/>
              <w:snapToGrid w:val="0"/>
              <w:spacing w:line="288" w:lineRule="auto"/>
              <w:rPr>
                <w:rFonts w:ascii="宋体" w:hAnsi="宋体" w:eastAsia="宋体" w:cs="宋体"/>
                <w:bCs/>
                <w:szCs w:val="21"/>
              </w:rPr>
            </w:pPr>
            <w:r>
              <w:rPr>
                <w:rFonts w:hint="eastAsia" w:ascii="宋体" w:hAnsi="宋体" w:eastAsia="宋体" w:cs="宋体"/>
                <w:bCs/>
                <w:szCs w:val="21"/>
              </w:rPr>
              <w:t>反面：</w:t>
            </w:r>
          </w:p>
        </w:tc>
      </w:tr>
    </w:tbl>
    <w:p>
      <w:pPr>
        <w:adjustRightInd w:val="0"/>
        <w:snapToGrid w:val="0"/>
        <w:spacing w:line="288" w:lineRule="auto"/>
        <w:rPr>
          <w:rFonts w:ascii="Times New Roman" w:hAnsi="Times New Roman" w:eastAsia="宋体" w:cs="Times New Roman"/>
          <w:szCs w:val="21"/>
        </w:rPr>
      </w:pP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pPr>
        <w:adjustRightInd w:val="0"/>
        <w:snapToGrid w:val="0"/>
        <w:spacing w:line="288" w:lineRule="auto"/>
        <w:jc w:val="left"/>
        <w:outlineLvl w:val="2"/>
        <w:rPr>
          <w:rFonts w:ascii="宋体" w:hAnsi="宋体" w:eastAsia="宋体" w:cs="Times New Roman"/>
          <w:b/>
          <w:bCs/>
          <w:szCs w:val="21"/>
        </w:rPr>
      </w:pPr>
      <w:r>
        <w:rPr>
          <w:rFonts w:hint="eastAsia" w:ascii="宋体" w:hAnsi="宋体" w:eastAsia="宋体" w:cs="Times New Roman"/>
          <w:b/>
          <w:bCs/>
          <w:szCs w:val="21"/>
        </w:rPr>
        <w:t>附：授权代表社保缴纳证明（2023年7月（含）以后任意一月）</w:t>
      </w:r>
    </w:p>
    <w:p>
      <w:pPr>
        <w:rPr>
          <w:rFonts w:ascii="Times New Roman" w:hAnsi="Times New Roman" w:eastAsia="宋体" w:cs="Times New Roman"/>
          <w:szCs w:val="21"/>
        </w:rPr>
      </w:pPr>
    </w:p>
    <w:p>
      <w:pPr>
        <w:adjustRightInd w:val="0"/>
        <w:snapToGrid w:val="0"/>
        <w:spacing w:line="288" w:lineRule="auto"/>
        <w:jc w:val="center"/>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）投标人同类合同一览表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采购人</w:t>
            </w: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数量</w:t>
            </w: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合同金额</w:t>
            </w:r>
          </w:p>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（万元）</w:t>
            </w: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采购人联系人</w:t>
            </w:r>
          </w:p>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b/>
                <w:bCs/>
                <w:szCs w:val="21"/>
              </w:rPr>
            </w:pPr>
          </w:p>
        </w:tc>
      </w:tr>
    </w:tbl>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说明：</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投标人须提供上述业绩合同扫描件；</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所有合同扫描件应清晰，应能体现合同签订时间、双方签名盖章等内容；</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w:t>
      </w:r>
      <w:r>
        <w:rPr>
          <w:rFonts w:hint="eastAsia" w:ascii="宋体" w:hAnsi="宋体" w:eastAsia="宋体" w:cs="Times New Roman"/>
          <w:b/>
          <w:spacing w:val="-6"/>
          <w:szCs w:val="21"/>
        </w:rPr>
        <w:t>投标人应在不涉及商业秘密的前提下尽可能提供详细的合同扫描件内容。</w:t>
      </w: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djustRightInd w:val="0"/>
        <w:snapToGrid w:val="0"/>
        <w:spacing w:line="288" w:lineRule="auto"/>
        <w:jc w:val="center"/>
        <w:outlineLvl w:val="2"/>
        <w:rPr>
          <w:rFonts w:ascii="宋体" w:hAnsi="宋体" w:eastAsia="宋体" w:cs="Times New Roman"/>
          <w:b/>
          <w:szCs w:val="21"/>
        </w:rPr>
      </w:pPr>
      <w:r>
        <w:rPr>
          <w:rFonts w:hint="eastAsia" w:ascii="宋体" w:hAnsi="宋体" w:eastAsia="宋体" w:cs="Times New Roman"/>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）采购需求偏离表</w:t>
      </w:r>
    </w:p>
    <w:p>
      <w:pPr>
        <w:adjustRightInd w:val="0"/>
        <w:snapToGrid w:val="0"/>
        <w:spacing w:line="288" w:lineRule="auto"/>
        <w:rPr>
          <w:rFonts w:ascii="宋体" w:hAnsi="宋体" w:eastAsia="宋体" w:cs="Times New Roman"/>
          <w:bCs/>
          <w:spacing w:val="-6"/>
          <w:szCs w:val="21"/>
        </w:rPr>
      </w:pPr>
      <w:r>
        <w:rPr>
          <w:rFonts w:hint="eastAsia" w:ascii="宋体" w:hAnsi="宋体" w:eastAsia="宋体" w:cs="Times New Roman"/>
          <w:bCs/>
          <w:spacing w:val="-6"/>
          <w:szCs w:val="21"/>
        </w:rPr>
        <w:t>采 购 人：浙江机电职业技术学院</w:t>
      </w:r>
    </w:p>
    <w:p>
      <w:pPr>
        <w:adjustRightInd w:val="0"/>
        <w:snapToGrid w:val="0"/>
        <w:spacing w:line="288" w:lineRule="auto"/>
        <w:rPr>
          <w:rFonts w:ascii="宋体" w:hAnsi="宋体" w:eastAsia="宋体" w:cs="Times New Roman"/>
          <w:bCs/>
          <w:spacing w:val="-6"/>
          <w:szCs w:val="21"/>
        </w:rPr>
      </w:pPr>
      <w:r>
        <w:rPr>
          <w:rFonts w:hint="eastAsia" w:ascii="宋体" w:hAnsi="宋体" w:eastAsia="宋体" w:cs="Times New Roman"/>
          <w:bCs/>
          <w:spacing w:val="-6"/>
          <w:szCs w:val="21"/>
        </w:rPr>
        <w:t>项目名称：两校区交换机更新与安全性能提升</w:t>
      </w:r>
    </w:p>
    <w:p>
      <w:pPr>
        <w:adjustRightInd w:val="0"/>
        <w:snapToGrid w:val="0"/>
        <w:spacing w:line="288" w:lineRule="auto"/>
        <w:rPr>
          <w:rFonts w:ascii="宋体" w:hAnsi="宋体" w:eastAsia="宋体" w:cs="Times New Roman"/>
          <w:bCs/>
          <w:spacing w:val="-6"/>
          <w:szCs w:val="21"/>
        </w:rPr>
      </w:pPr>
      <w:r>
        <w:rPr>
          <w:rFonts w:hint="eastAsia" w:ascii="宋体" w:hAnsi="宋体" w:eastAsia="宋体" w:cs="Times New Roman"/>
          <w:bCs/>
          <w:spacing w:val="-6"/>
          <w:szCs w:val="21"/>
        </w:rPr>
        <w:t>项目编号：QSZB-Z(H)-C23467(GK)</w:t>
      </w:r>
    </w:p>
    <w:p>
      <w:pPr>
        <w:adjustRightInd w:val="0"/>
        <w:snapToGrid w:val="0"/>
        <w:spacing w:line="288" w:lineRule="auto"/>
        <w:rPr>
          <w:rFonts w:ascii="宋体" w:hAnsi="宋体" w:eastAsia="宋体" w:cs="Times New Roman"/>
          <w:bCs/>
          <w:spacing w:val="-6"/>
          <w:szCs w:val="21"/>
        </w:rPr>
      </w:pP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序号</w:t>
            </w:r>
          </w:p>
        </w:tc>
        <w:tc>
          <w:tcPr>
            <w:tcW w:w="42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djustRightInd w:val="0"/>
              <w:snapToGrid w:val="0"/>
              <w:spacing w:line="288" w:lineRule="auto"/>
              <w:rPr>
                <w:rFonts w:ascii="宋体" w:hAnsi="宋体" w:eastAsia="宋体" w:cs="宋体"/>
                <w:szCs w:val="21"/>
              </w:rPr>
            </w:pPr>
            <w:r>
              <w:rPr>
                <w:rFonts w:hint="eastAsia" w:ascii="宋体" w:hAnsi="宋体" w:eastAsia="宋体" w:cs="宋体"/>
                <w:b/>
                <w:bCs/>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2</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djustRightInd w:val="0"/>
              <w:snapToGrid w:val="0"/>
              <w:spacing w:line="288" w:lineRule="auto"/>
              <w:rPr>
                <w:rFonts w:ascii="宋体" w:hAnsi="宋体" w:eastAsia="宋体" w:cs="宋体"/>
                <w:szCs w:val="21"/>
              </w:rPr>
            </w:pPr>
            <w:r>
              <w:rPr>
                <w:rFonts w:hint="eastAsia" w:ascii="宋体" w:hAnsi="宋体" w:eastAsia="宋体" w:cs="宋体"/>
                <w:b/>
                <w:bCs/>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w:t>
            </w:r>
          </w:p>
        </w:tc>
        <w:tc>
          <w:tcPr>
            <w:tcW w:w="4254" w:type="dxa"/>
            <w:vAlign w:val="center"/>
          </w:tcPr>
          <w:p>
            <w:pPr>
              <w:adjustRightInd w:val="0"/>
              <w:snapToGrid w:val="0"/>
              <w:spacing w:line="288" w:lineRule="auto"/>
              <w:jc w:val="left"/>
              <w:rPr>
                <w:rFonts w:ascii="宋体" w:hAnsi="宋体" w:eastAsia="宋体" w:cs="宋体"/>
                <w:szCs w:val="21"/>
              </w:rPr>
            </w:pPr>
          </w:p>
        </w:tc>
        <w:tc>
          <w:tcPr>
            <w:tcW w:w="2574" w:type="dxa"/>
            <w:vAlign w:val="center"/>
          </w:tcPr>
          <w:p>
            <w:pPr>
              <w:adjustRightInd w:val="0"/>
              <w:snapToGrid w:val="0"/>
              <w:spacing w:line="288" w:lineRule="auto"/>
              <w:jc w:val="left"/>
              <w:rPr>
                <w:rFonts w:ascii="宋体" w:hAnsi="宋体" w:eastAsia="宋体" w:cs="宋体"/>
                <w:szCs w:val="21"/>
              </w:rPr>
            </w:pPr>
          </w:p>
        </w:tc>
        <w:tc>
          <w:tcPr>
            <w:tcW w:w="2124" w:type="dxa"/>
            <w:vAlign w:val="center"/>
          </w:tcPr>
          <w:p>
            <w:pPr>
              <w:adjustRightInd w:val="0"/>
              <w:snapToGrid w:val="0"/>
              <w:spacing w:line="288" w:lineRule="auto"/>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2</w:t>
            </w:r>
          </w:p>
        </w:tc>
        <w:tc>
          <w:tcPr>
            <w:tcW w:w="4254" w:type="dxa"/>
            <w:vAlign w:val="center"/>
          </w:tcPr>
          <w:p>
            <w:pPr>
              <w:adjustRightInd w:val="0"/>
              <w:snapToGrid w:val="0"/>
              <w:spacing w:line="288" w:lineRule="auto"/>
              <w:jc w:val="left"/>
              <w:rPr>
                <w:rFonts w:ascii="宋体" w:hAnsi="宋体" w:eastAsia="宋体" w:cs="宋体"/>
                <w:szCs w:val="21"/>
              </w:rPr>
            </w:pPr>
          </w:p>
        </w:tc>
        <w:tc>
          <w:tcPr>
            <w:tcW w:w="2574" w:type="dxa"/>
            <w:vAlign w:val="center"/>
          </w:tcPr>
          <w:p>
            <w:pPr>
              <w:adjustRightInd w:val="0"/>
              <w:snapToGrid w:val="0"/>
              <w:spacing w:line="288" w:lineRule="auto"/>
              <w:jc w:val="left"/>
              <w:rPr>
                <w:rFonts w:ascii="宋体" w:hAnsi="宋体" w:eastAsia="宋体" w:cs="宋体"/>
                <w:szCs w:val="21"/>
              </w:rPr>
            </w:pPr>
          </w:p>
        </w:tc>
        <w:tc>
          <w:tcPr>
            <w:tcW w:w="2124" w:type="dxa"/>
            <w:vAlign w:val="center"/>
          </w:tcPr>
          <w:p>
            <w:pPr>
              <w:adjustRightInd w:val="0"/>
              <w:snapToGrid w:val="0"/>
              <w:spacing w:line="288" w:lineRule="auto"/>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w:t>
            </w:r>
          </w:p>
        </w:tc>
        <w:tc>
          <w:tcPr>
            <w:tcW w:w="4254" w:type="dxa"/>
            <w:vAlign w:val="center"/>
          </w:tcPr>
          <w:p>
            <w:pPr>
              <w:adjustRightInd w:val="0"/>
              <w:snapToGrid w:val="0"/>
              <w:spacing w:line="288" w:lineRule="auto"/>
              <w:jc w:val="left"/>
              <w:rPr>
                <w:rFonts w:ascii="宋体" w:hAnsi="宋体" w:eastAsia="宋体" w:cs="宋体"/>
                <w:szCs w:val="21"/>
              </w:rPr>
            </w:pPr>
          </w:p>
        </w:tc>
        <w:tc>
          <w:tcPr>
            <w:tcW w:w="2574" w:type="dxa"/>
            <w:vAlign w:val="center"/>
          </w:tcPr>
          <w:p>
            <w:pPr>
              <w:adjustRightInd w:val="0"/>
              <w:snapToGrid w:val="0"/>
              <w:spacing w:line="288" w:lineRule="auto"/>
              <w:jc w:val="left"/>
              <w:rPr>
                <w:rFonts w:ascii="宋体" w:hAnsi="宋体" w:eastAsia="宋体" w:cs="宋体"/>
                <w:szCs w:val="21"/>
              </w:rPr>
            </w:pPr>
          </w:p>
        </w:tc>
        <w:tc>
          <w:tcPr>
            <w:tcW w:w="2124" w:type="dxa"/>
            <w:vAlign w:val="center"/>
          </w:tcPr>
          <w:p>
            <w:pPr>
              <w:adjustRightInd w:val="0"/>
              <w:snapToGrid w:val="0"/>
              <w:spacing w:line="288" w:lineRule="auto"/>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djustRightInd w:val="0"/>
              <w:snapToGrid w:val="0"/>
              <w:spacing w:line="288" w:lineRule="auto"/>
              <w:rPr>
                <w:rFonts w:ascii="宋体" w:hAnsi="宋体" w:eastAsia="宋体" w:cs="宋体"/>
                <w:b/>
                <w:bCs/>
                <w:szCs w:val="21"/>
              </w:rPr>
            </w:pPr>
            <w:r>
              <w:rPr>
                <w:rFonts w:hint="eastAsia" w:ascii="宋体" w:hAnsi="宋体" w:eastAsia="宋体" w:cs="宋体"/>
                <w:b/>
                <w:bCs/>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2</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bl>
    <w:p>
      <w:pPr>
        <w:adjustRightInd w:val="0"/>
        <w:snapToGrid w:val="0"/>
        <w:spacing w:line="288" w:lineRule="auto"/>
        <w:rPr>
          <w:rFonts w:ascii="宋体" w:hAnsi="宋体" w:eastAsia="宋体" w:cs="Times New Roman"/>
          <w:b/>
          <w:bCs/>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说明：</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hint="eastAsia" w:ascii="宋体" w:hAnsi="宋体" w:eastAsia="宋体" w:cs="Times New Roman"/>
          <w:b/>
          <w:bCs/>
          <w:spacing w:val="-6"/>
          <w:szCs w:val="21"/>
        </w:rPr>
        <w:t>逐项按照招标文件要求填写响应规格；</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偏离说明是指对招标文件要求存在不同之处的解释说明。偏离系指：正偏离（高于采购需求）、负偏离（低于采购需求）、无偏离（满足采购需求）；</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如不填写或未如实填写</w:t>
      </w:r>
      <w:r>
        <w:rPr>
          <w:rFonts w:hint="eastAsia" w:ascii="宋体" w:hAnsi="宋体" w:eastAsia="宋体" w:cs="Times New Roman"/>
          <w:b/>
          <w:spacing w:val="-6"/>
          <w:szCs w:val="21"/>
        </w:rPr>
        <w:t>，自行承担投标风险。</w:t>
      </w: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Times New Roman"/>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5</w:t>
      </w:r>
      <w:r>
        <w:rPr>
          <w:rFonts w:hint="eastAsia" w:ascii="宋体" w:hAnsi="宋体" w:eastAsia="宋体" w:cs="宋体"/>
          <w:b/>
          <w:spacing w:val="-6"/>
          <w:szCs w:val="21"/>
        </w:rPr>
        <w:t>）货物配置清单</w:t>
      </w:r>
      <w:r>
        <w:rPr>
          <w:rFonts w:hint="eastAsia" w:ascii="宋体" w:hAnsi="宋体" w:eastAsia="宋体" w:cs="宋体"/>
          <w:spacing w:val="-6"/>
          <w:szCs w:val="21"/>
        </w:rPr>
        <w:t>（不含报价）</w:t>
      </w:r>
    </w:p>
    <w:p>
      <w:pPr>
        <w:adjustRightInd w:val="0"/>
        <w:snapToGrid w:val="0"/>
        <w:spacing w:line="288" w:lineRule="auto"/>
        <w:rPr>
          <w:rFonts w:ascii="宋体" w:hAnsi="宋体" w:eastAsia="宋体" w:cs="宋体"/>
          <w:spacing w:val="-6"/>
          <w:szCs w:val="21"/>
        </w:rPr>
      </w:pPr>
    </w:p>
    <w:tbl>
      <w:tblPr>
        <w:tblStyle w:val="23"/>
        <w:tblW w:w="94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011"/>
        <w:gridCol w:w="2105"/>
        <w:gridCol w:w="756"/>
        <w:gridCol w:w="1011"/>
        <w:gridCol w:w="2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名称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品牌</w:t>
            </w: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规格型号</w:t>
            </w:r>
          </w:p>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或具体服务</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产地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数量</w:t>
            </w: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配置（可另附页）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bl>
    <w:p>
      <w:pPr>
        <w:adjustRightInd w:val="0"/>
        <w:snapToGrid w:val="0"/>
        <w:spacing w:line="288" w:lineRule="auto"/>
        <w:rPr>
          <w:rFonts w:ascii="宋体" w:hAnsi="宋体" w:eastAsia="宋体" w:cs="宋体"/>
          <w:szCs w:val="21"/>
        </w:rPr>
      </w:pPr>
    </w:p>
    <w:p>
      <w:pPr>
        <w:adjustRightInd w:val="0"/>
        <w:snapToGrid w:val="0"/>
        <w:spacing w:line="288" w:lineRule="auto"/>
        <w:rPr>
          <w:rFonts w:ascii="宋体" w:hAnsi="宋体" w:eastAsia="宋体" w:cs="宋体"/>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utoSpaceDE w:val="0"/>
        <w:autoSpaceDN w:val="0"/>
        <w:adjustRightInd w:val="0"/>
        <w:snapToGrid w:val="0"/>
        <w:spacing w:line="288" w:lineRule="auto"/>
        <w:jc w:val="left"/>
        <w:rPr>
          <w:rFonts w:ascii="宋体" w:hAnsi="宋体" w:eastAsia="宋体" w:cs="宋体"/>
          <w:spacing w:val="-6"/>
          <w:kern w:val="0"/>
          <w:szCs w:val="21"/>
        </w:rPr>
      </w:pPr>
    </w:p>
    <w:p>
      <w:pPr>
        <w:adjustRightInd w:val="0"/>
        <w:snapToGrid w:val="0"/>
        <w:spacing w:line="288" w:lineRule="auto"/>
        <w:rPr>
          <w:rFonts w:ascii="宋体" w:hAnsi="宋体" w:eastAsia="宋体" w:cs="宋体"/>
          <w:szCs w:val="21"/>
        </w:rPr>
      </w:pPr>
    </w:p>
    <w:p>
      <w:pPr>
        <w:adjustRightInd w:val="0"/>
        <w:snapToGrid w:val="0"/>
        <w:spacing w:line="288" w:lineRule="auto"/>
        <w:rPr>
          <w:rFonts w:ascii="宋体" w:hAnsi="宋体" w:eastAsia="宋体" w:cs="宋体"/>
          <w:b/>
          <w:spacing w:val="-6"/>
          <w:szCs w:val="21"/>
        </w:rPr>
      </w:pPr>
      <w:r>
        <w:rPr>
          <w:rFonts w:hint="eastAsia" w:ascii="宋体" w:hAnsi="宋体" w:eastAsia="宋体" w:cs="宋体"/>
          <w:b/>
          <w:spacing w:val="-6"/>
          <w:szCs w:val="21"/>
        </w:rPr>
        <w:t>附：产品技术支持材料</w:t>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br w:type="page"/>
      </w:r>
    </w:p>
    <w:p>
      <w:pPr>
        <w:adjustRightInd w:val="0"/>
        <w:snapToGrid w:val="0"/>
        <w:spacing w:line="288" w:lineRule="auto"/>
        <w:jc w:val="left"/>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6</w:t>
      </w:r>
      <w:r>
        <w:rPr>
          <w:rFonts w:hint="eastAsia" w:ascii="宋体" w:hAnsi="宋体" w:eastAsia="宋体" w:cs="宋体"/>
          <w:b/>
          <w:spacing w:val="-6"/>
          <w:szCs w:val="21"/>
        </w:rPr>
        <w:t>）</w:t>
      </w:r>
      <w:r>
        <w:rPr>
          <w:rFonts w:ascii="宋体" w:hAnsi="宋体" w:eastAsia="宋体" w:cs="宋体"/>
          <w:b/>
          <w:spacing w:val="-6"/>
          <w:szCs w:val="21"/>
        </w:rPr>
        <w:t>技术方案</w:t>
      </w:r>
    </w:p>
    <w:p>
      <w:pPr>
        <w:adjustRightInd w:val="0"/>
        <w:snapToGrid w:val="0"/>
        <w:spacing w:line="288" w:lineRule="auto"/>
        <w:jc w:val="left"/>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7）项目实施</w:t>
      </w:r>
    </w:p>
    <w:p>
      <w:pPr>
        <w:adjustRightInd w:val="0"/>
        <w:snapToGrid w:val="0"/>
        <w:spacing w:line="288" w:lineRule="auto"/>
        <w:jc w:val="left"/>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8）技术培训</w:t>
      </w:r>
    </w:p>
    <w:p>
      <w:pPr>
        <w:adjustRightInd w:val="0"/>
        <w:snapToGrid w:val="0"/>
        <w:spacing w:line="288" w:lineRule="auto"/>
        <w:jc w:val="left"/>
        <w:outlineLvl w:val="2"/>
        <w:rPr>
          <w:rFonts w:ascii="宋体" w:hAnsi="宋体" w:eastAsia="宋体" w:cs="Times New Roman"/>
          <w:b/>
          <w:szCs w:val="21"/>
        </w:rPr>
      </w:pPr>
      <w:r>
        <w:rPr>
          <w:rFonts w:hint="eastAsia" w:ascii="宋体" w:hAnsi="宋体" w:eastAsia="宋体" w:cs="宋体"/>
          <w:b/>
          <w:spacing w:val="-6"/>
          <w:szCs w:val="21"/>
        </w:rPr>
        <w:t>（</w:t>
      </w:r>
      <w:r>
        <w:rPr>
          <w:rFonts w:ascii="宋体" w:hAnsi="宋体" w:eastAsia="宋体" w:cs="宋体"/>
          <w:b/>
          <w:spacing w:val="-6"/>
          <w:szCs w:val="21"/>
        </w:rPr>
        <w:t>9）售后服务</w:t>
      </w:r>
    </w:p>
    <w:p>
      <w:pPr>
        <w:adjustRightInd w:val="0"/>
        <w:snapToGrid w:val="0"/>
        <w:spacing w:line="288" w:lineRule="auto"/>
        <w:rPr>
          <w:rFonts w:ascii="宋体" w:hAnsi="宋体" w:eastAsia="宋体" w:cs="Times New Roman"/>
          <w:b/>
          <w:szCs w:val="21"/>
        </w:rPr>
      </w:pPr>
    </w:p>
    <w:p>
      <w:pPr>
        <w:adjustRightInd w:val="0"/>
        <w:snapToGrid w:val="0"/>
        <w:spacing w:line="288" w:lineRule="auto"/>
        <w:rPr>
          <w:rFonts w:ascii="宋体" w:hAnsi="宋体" w:eastAsia="宋体" w:cs="宋体"/>
          <w:b/>
          <w:spacing w:val="-6"/>
          <w:szCs w:val="21"/>
        </w:rPr>
      </w:pPr>
    </w:p>
    <w:p>
      <w:pPr>
        <w:adjustRightInd w:val="0"/>
        <w:snapToGrid w:val="0"/>
        <w:spacing w:line="288" w:lineRule="auto"/>
        <w:outlineLvl w:val="2"/>
        <w:rPr>
          <w:rFonts w:ascii="宋体" w:hAnsi="宋体" w:eastAsia="宋体" w:cs="宋体"/>
          <w:b/>
          <w:spacing w:val="-6"/>
          <w:szCs w:val="21"/>
        </w:rPr>
      </w:pPr>
      <w:r>
        <w:rPr>
          <w:rFonts w:hint="eastAsia" w:ascii="宋体" w:hAnsi="宋体" w:eastAsia="宋体" w:cs="宋体"/>
          <w:b/>
          <w:spacing w:val="-6"/>
          <w:szCs w:val="21"/>
        </w:rPr>
        <w:t>（……）投标人需要说明的其他文件和材料。</w:t>
      </w:r>
    </w:p>
    <w:p>
      <w:pPr>
        <w:adjustRightInd w:val="0"/>
        <w:snapToGrid w:val="0"/>
        <w:spacing w:line="288" w:lineRule="auto"/>
        <w:outlineLvl w:val="2"/>
        <w:rPr>
          <w:rFonts w:ascii="宋体" w:hAnsi="宋体" w:eastAsia="宋体" w:cs="宋体"/>
          <w:b/>
          <w:spacing w:val="-6"/>
          <w:szCs w:val="21"/>
        </w:rPr>
      </w:pPr>
      <w:r>
        <w:rPr>
          <w:rFonts w:hint="eastAsia" w:ascii="宋体" w:hAnsi="宋体" w:eastAsia="宋体" w:cs="宋体"/>
          <w:b/>
          <w:spacing w:val="-6"/>
          <w:szCs w:val="21"/>
        </w:rPr>
        <w:t>如：科技创新相关证明材料</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优先推荐专精特新中小企业、创新产品参加政府采购活动。对省级以上主管部门认定的首台套产品，自纳入《省推广应用指导目录》起三年内参加政府采购活动时视同已具备相应销售业绩，业绩分为满分。</w:t>
      </w:r>
    </w:p>
    <w:p>
      <w:pPr>
        <w:widowControl/>
        <w:adjustRightInd w:val="0"/>
        <w:snapToGrid w:val="0"/>
        <w:spacing w:line="288" w:lineRule="auto"/>
        <w:jc w:val="left"/>
        <w:rPr>
          <w:rFonts w:ascii="宋体" w:hAnsi="宋体" w:eastAsia="宋体" w:cs="宋体"/>
          <w:b/>
          <w:spacing w:val="-6"/>
          <w:szCs w:val="21"/>
        </w:rPr>
      </w:pP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overflowPunct w:val="0"/>
        <w:adjustRightInd w:val="0"/>
        <w:snapToGrid w:val="0"/>
        <w:spacing w:line="288" w:lineRule="auto"/>
        <w:jc w:val="center"/>
        <w:outlineLvl w:val="1"/>
        <w:rPr>
          <w:rFonts w:ascii="宋体" w:hAnsi="宋体" w:eastAsia="宋体" w:cs="Times New Roman"/>
          <w:b/>
          <w:spacing w:val="-6"/>
          <w:sz w:val="84"/>
          <w:szCs w:val="84"/>
        </w:rPr>
      </w:pPr>
      <w:r>
        <w:rPr>
          <w:rFonts w:hint="eastAsia" w:ascii="宋体" w:hAnsi="宋体" w:eastAsia="宋体" w:cs="Times New Roman"/>
          <w:b/>
          <w:spacing w:val="-6"/>
          <w:sz w:val="84"/>
          <w:szCs w:val="84"/>
        </w:rPr>
        <w:t>报价文件</w:t>
      </w: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w:t>
      </w:r>
    </w:p>
    <w:p>
      <w:pPr>
        <w:adjustRightInd w:val="0"/>
        <w:snapToGrid w:val="0"/>
        <w:spacing w:line="288" w:lineRule="auto"/>
        <w:rPr>
          <w:rFonts w:ascii="宋体" w:hAnsi="宋体" w:eastAsia="宋体" w:cs="Times New Roman"/>
          <w:bCs/>
          <w:spacing w:val="-6"/>
          <w:szCs w:val="21"/>
        </w:rPr>
      </w:pPr>
      <w:r>
        <w:rPr>
          <w:rFonts w:hint="eastAsia" w:ascii="宋体" w:hAnsi="宋体" w:eastAsia="宋体" w:cs="Times New Roman"/>
          <w:bCs/>
          <w:spacing w:val="-6"/>
          <w:szCs w:val="21"/>
        </w:rPr>
        <w:t>采 购 人：浙江机电职业技术学院</w:t>
      </w:r>
    </w:p>
    <w:p>
      <w:pPr>
        <w:adjustRightInd w:val="0"/>
        <w:snapToGrid w:val="0"/>
        <w:spacing w:line="288" w:lineRule="auto"/>
        <w:rPr>
          <w:rFonts w:ascii="宋体" w:hAnsi="宋体" w:eastAsia="宋体" w:cs="Times New Roman"/>
          <w:bCs/>
          <w:spacing w:val="-6"/>
          <w:szCs w:val="21"/>
        </w:rPr>
      </w:pPr>
      <w:r>
        <w:rPr>
          <w:rFonts w:hint="eastAsia" w:ascii="宋体" w:hAnsi="宋体" w:eastAsia="宋体" w:cs="Times New Roman"/>
          <w:bCs/>
          <w:spacing w:val="-6"/>
          <w:szCs w:val="21"/>
        </w:rPr>
        <w:t>项目名称：两校区交换机更新与安全性能提升</w:t>
      </w:r>
    </w:p>
    <w:p>
      <w:pPr>
        <w:adjustRightInd w:val="0"/>
        <w:snapToGrid w:val="0"/>
        <w:spacing w:line="288" w:lineRule="auto"/>
        <w:rPr>
          <w:rFonts w:ascii="宋体" w:hAnsi="宋体" w:eastAsia="宋体" w:cs="Times New Roman"/>
          <w:bCs/>
          <w:spacing w:val="-6"/>
          <w:szCs w:val="21"/>
        </w:rPr>
      </w:pPr>
      <w:r>
        <w:rPr>
          <w:rFonts w:hint="eastAsia" w:ascii="宋体" w:hAnsi="宋体" w:eastAsia="宋体" w:cs="Times New Roman"/>
          <w:bCs/>
          <w:spacing w:val="-6"/>
          <w:szCs w:val="21"/>
        </w:rPr>
        <w:t>项目编号：QSZB-Z(H)-C23467(GK)</w:t>
      </w:r>
    </w:p>
    <w:p>
      <w:pPr>
        <w:adjustRightInd w:val="0"/>
        <w:snapToGrid w:val="0"/>
        <w:spacing w:line="288" w:lineRule="auto"/>
        <w:rPr>
          <w:rFonts w:ascii="宋体" w:hAnsi="宋体" w:eastAsia="宋体" w:cs="Times New Roman"/>
          <w:bCs/>
          <w:spacing w:val="-6"/>
          <w:szCs w:val="21"/>
        </w:rPr>
      </w:pPr>
    </w:p>
    <w:tbl>
      <w:tblPr>
        <w:tblStyle w:val="23"/>
        <w:tblW w:w="9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39"/>
        <w:gridCol w:w="708"/>
        <w:gridCol w:w="1702"/>
        <w:gridCol w:w="756"/>
        <w:gridCol w:w="1011"/>
        <w:gridCol w:w="1323"/>
        <w:gridCol w:w="1863"/>
        <w:gridCol w:w="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序号</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名称</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品牌</w:t>
            </w: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规格型号</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产地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数量</w:t>
            </w: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单价（元）</w:t>
            </w: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rFonts w:ascii="宋体" w:hAnsi="宋体" w:eastAsia="宋体" w:cs="宋体"/>
                <w:b/>
                <w:bCs/>
                <w:szCs w:val="21"/>
              </w:rPr>
            </w:pPr>
            <w:r>
              <w:rPr>
                <w:rFonts w:hint="eastAsia" w:ascii="宋体" w:hAnsi="宋体" w:eastAsia="宋体" w:cs="Times New Roman"/>
                <w:b/>
                <w:spacing w:val="-6"/>
                <w:szCs w:val="21"/>
              </w:rPr>
              <w:t>说明：▲</w:t>
            </w:r>
            <w:r>
              <w:rPr>
                <w:rFonts w:ascii="宋体" w:hAnsi="宋体" w:eastAsia="宋体" w:cs="Times New Roman"/>
                <w:bCs/>
                <w:spacing w:val="-6"/>
                <w:szCs w:val="21"/>
              </w:rPr>
              <w:t>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投标总价（人民币元）</w:t>
            </w:r>
          </w:p>
          <w:p>
            <w:pPr>
              <w:adjustRightInd w:val="0"/>
              <w:snapToGrid w:val="0"/>
              <w:spacing w:line="288" w:lineRule="auto"/>
              <w:rPr>
                <w:rFonts w:ascii="宋体" w:hAnsi="宋体" w:eastAsia="宋体" w:cs="宋体"/>
                <w:b/>
                <w:bCs/>
                <w:szCs w:val="21"/>
              </w:rPr>
            </w:pPr>
          </w:p>
          <w:p>
            <w:pPr>
              <w:adjustRightInd w:val="0"/>
              <w:snapToGrid w:val="0"/>
              <w:spacing w:line="288" w:lineRule="auto"/>
              <w:rPr>
                <w:rFonts w:ascii="宋体" w:hAnsi="宋体" w:eastAsia="宋体" w:cs="宋体"/>
                <w:b/>
                <w:bCs/>
                <w:szCs w:val="21"/>
              </w:rPr>
            </w:pPr>
            <w:r>
              <w:rPr>
                <w:rFonts w:hint="eastAsia" w:ascii="宋体" w:hAnsi="宋体" w:eastAsia="宋体" w:cs="宋体"/>
                <w:b/>
                <w:bCs/>
                <w:szCs w:val="21"/>
              </w:rPr>
              <w:t>小写：_________________________</w:t>
            </w:r>
          </w:p>
          <w:p>
            <w:pPr>
              <w:adjustRightInd w:val="0"/>
              <w:snapToGrid w:val="0"/>
              <w:spacing w:line="288" w:lineRule="auto"/>
              <w:rPr>
                <w:rFonts w:ascii="宋体" w:hAnsi="宋体" w:eastAsia="宋体" w:cs="宋体"/>
                <w:b/>
                <w:bCs/>
                <w:szCs w:val="21"/>
              </w:rPr>
            </w:pPr>
          </w:p>
          <w:p>
            <w:pPr>
              <w:adjustRightInd w:val="0"/>
              <w:snapToGrid w:val="0"/>
              <w:spacing w:line="288" w:lineRule="auto"/>
              <w:rPr>
                <w:rFonts w:ascii="宋体" w:hAnsi="宋体" w:eastAsia="宋体" w:cs="宋体"/>
                <w:b/>
                <w:bCs/>
                <w:szCs w:val="21"/>
              </w:rPr>
            </w:pPr>
            <w:r>
              <w:rPr>
                <w:rFonts w:hint="eastAsia" w:ascii="宋体" w:hAnsi="宋体" w:eastAsia="宋体" w:cs="宋体"/>
                <w:b/>
                <w:bCs/>
                <w:szCs w:val="21"/>
              </w:rPr>
              <w:t>大写：_________________________</w:t>
            </w:r>
          </w:p>
          <w:p>
            <w:pPr>
              <w:adjustRightInd w:val="0"/>
              <w:snapToGrid w:val="0"/>
              <w:spacing w:line="288" w:lineRule="auto"/>
              <w:rPr>
                <w:rFonts w:ascii="宋体" w:hAnsi="宋体" w:eastAsia="宋体" w:cs="宋体"/>
                <w:b/>
                <w:bCs/>
                <w:szCs w:val="21"/>
              </w:rPr>
            </w:pPr>
          </w:p>
        </w:tc>
      </w:tr>
    </w:tbl>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说明：</w:t>
      </w:r>
    </w:p>
    <w:p>
      <w:pPr>
        <w:adjustRightInd w:val="0"/>
        <w:snapToGrid w:val="0"/>
        <w:spacing w:line="288" w:lineRule="auto"/>
        <w:rPr>
          <w:rFonts w:ascii="宋体" w:hAnsi="宋体" w:eastAsia="宋体" w:cs="Times New Roman"/>
          <w:bCs/>
          <w:spacing w:val="-6"/>
          <w:szCs w:val="21"/>
        </w:rPr>
      </w:pPr>
      <w:r>
        <w:rPr>
          <w:rFonts w:ascii="宋体" w:hAnsi="宋体" w:eastAsia="宋体" w:cs="Times New Roman"/>
          <w:bCs/>
          <w:spacing w:val="-6"/>
          <w:szCs w:val="21"/>
        </w:rPr>
        <w:t>1.</w:t>
      </w:r>
      <w:r>
        <w:rPr>
          <w:rFonts w:hint="eastAsia" w:ascii="宋体" w:hAnsi="宋体" w:eastAsia="宋体" w:cs="Times New Roman"/>
          <w:bCs/>
          <w:spacing w:val="-6"/>
          <w:szCs w:val="21"/>
        </w:rPr>
        <w:t>此表在不改变格式要求的情况下，可自行增行。</w:t>
      </w:r>
    </w:p>
    <w:p>
      <w:pPr>
        <w:adjustRightInd w:val="0"/>
        <w:snapToGrid w:val="0"/>
        <w:spacing w:line="288" w:lineRule="auto"/>
        <w:jc w:val="left"/>
        <w:rPr>
          <w:rFonts w:ascii="宋体" w:hAnsi="宋体" w:eastAsia="宋体" w:cs="Times New Roman"/>
          <w:b/>
          <w:spacing w:val="-6"/>
          <w:szCs w:val="21"/>
        </w:rPr>
      </w:pPr>
      <w:r>
        <w:rPr>
          <w:rFonts w:ascii="宋体" w:hAnsi="宋体" w:eastAsia="宋体" w:cs="Times New Roman"/>
          <w:bCs/>
          <w:spacing w:val="-6"/>
          <w:szCs w:val="21"/>
        </w:rPr>
        <w:t>2.有关本项目实施所涉及的一切费用均计入报价。</w:t>
      </w:r>
    </w:p>
    <w:p>
      <w:pPr>
        <w:adjustRightInd w:val="0"/>
        <w:snapToGrid w:val="0"/>
        <w:spacing w:line="288" w:lineRule="auto"/>
        <w:jc w:val="left"/>
        <w:rPr>
          <w:rFonts w:ascii="宋体" w:hAnsi="宋体" w:eastAsia="宋体" w:cs="Times New Roman"/>
          <w:b/>
          <w:spacing w:val="-6"/>
          <w:szCs w:val="21"/>
        </w:rPr>
      </w:pPr>
      <w:r>
        <w:rPr>
          <w:rFonts w:ascii="宋体" w:hAnsi="宋体" w:eastAsia="宋体" w:cs="Times New Roman"/>
          <w:b/>
          <w:spacing w:val="-6"/>
          <w:szCs w:val="21"/>
        </w:rPr>
        <w:t>3.以上表格要求细分项目及报价，在“规格型号”一栏中，填写具体服务。</w:t>
      </w:r>
    </w:p>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Times New Roman"/>
          <w:bCs/>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w:t>
      </w:r>
      <w:r>
        <w:rPr>
          <w:rFonts w:hint="eastAsia" w:ascii="宋体" w:hAnsi="宋体" w:eastAsia="宋体" w:cs="宋体"/>
          <w:b/>
          <w:spacing w:val="-6"/>
          <w:szCs w:val="21"/>
        </w:rPr>
        <w:t>）</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w:t>
      </w:r>
    </w:p>
    <w:p>
      <w:pPr>
        <w:adjustRightInd w:val="0"/>
        <w:snapToGrid w:val="0"/>
        <w:spacing w:line="288" w:lineRule="auto"/>
        <w:ind w:firstLine="498" w:firstLineChars="236"/>
        <w:rPr>
          <w:rFonts w:ascii="宋体" w:hAnsi="宋体" w:eastAsia="宋体" w:cs="Times New Roman"/>
          <w:b/>
          <w:szCs w:val="21"/>
        </w:rPr>
      </w:pP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ascii="宋体" w:hAnsi="宋体" w:eastAsia="宋体" w:cs="Times New Roman"/>
          <w:i/>
          <w:szCs w:val="21"/>
          <w:u w:val="single"/>
        </w:rPr>
        <w:t>（单位名称）</w:t>
      </w:r>
      <w:r>
        <w:rPr>
          <w:rFonts w:ascii="宋体" w:hAnsi="宋体" w:eastAsia="宋体" w:cs="Times New Roman"/>
          <w:szCs w:val="21"/>
        </w:rPr>
        <w:t>的</w:t>
      </w:r>
      <w:r>
        <w:rPr>
          <w:rFonts w:ascii="宋体" w:hAnsi="宋体" w:eastAsia="宋体" w:cs="Times New Roman"/>
          <w:i/>
          <w:szCs w:val="21"/>
          <w:u w:val="single"/>
        </w:rPr>
        <w:t>（</w:t>
      </w:r>
      <w:bookmarkStart w:id="61" w:name="_Hlk118098443"/>
      <w:r>
        <w:rPr>
          <w:rFonts w:ascii="宋体" w:hAnsi="宋体" w:eastAsia="宋体" w:cs="Times New Roman"/>
          <w:i/>
          <w:szCs w:val="21"/>
          <w:u w:val="single"/>
        </w:rPr>
        <w:t>项目名称</w:t>
      </w:r>
      <w:bookmarkEnd w:id="61"/>
      <w:r>
        <w:rPr>
          <w:rFonts w:ascii="宋体" w:hAnsi="宋体" w:eastAsia="宋体" w:cs="Times New Roman"/>
          <w:i/>
          <w:szCs w:val="21"/>
          <w:u w:val="single"/>
        </w:rPr>
        <w:t>）</w:t>
      </w:r>
      <w:r>
        <w:rPr>
          <w:rFonts w:ascii="宋体" w:hAnsi="宋体" w:eastAsia="宋体" w:cs="Times New Roman"/>
          <w:szCs w:val="21"/>
        </w:rPr>
        <w:t>采购活动，提供的货物全部由符合政策要求的中小企业制造。相关企业（含联合体中的中小企业、签订分包意向协议的中小企业）的具体情况如下：</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i/>
          <w:szCs w:val="21"/>
          <w:u w:val="single"/>
        </w:rPr>
        <w:t>1.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i/>
          <w:szCs w:val="21"/>
          <w:u w:val="single"/>
        </w:rPr>
        <w:t>2.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pPr>
        <w:adjustRightInd w:val="0"/>
        <w:snapToGrid w:val="0"/>
        <w:spacing w:line="288" w:lineRule="auto"/>
        <w:ind w:firstLine="495" w:firstLineChars="236"/>
        <w:rPr>
          <w:rFonts w:ascii="宋体" w:hAnsi="宋体" w:eastAsia="宋体" w:cs="Times New Roman"/>
          <w:szCs w:val="21"/>
        </w:rPr>
      </w:pP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企业名称（盖章）：</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日期：</w:t>
      </w:r>
    </w:p>
    <w:p>
      <w:pPr>
        <w:adjustRightInd w:val="0"/>
        <w:snapToGrid w:val="0"/>
        <w:spacing w:line="288" w:lineRule="auto"/>
        <w:ind w:firstLine="495" w:firstLineChars="236"/>
        <w:rPr>
          <w:rFonts w:ascii="宋体" w:hAnsi="宋体" w:eastAsia="宋体" w:cs="Times New Roman"/>
          <w:szCs w:val="21"/>
        </w:rPr>
      </w:pPr>
    </w:p>
    <w:p>
      <w:pPr>
        <w:adjustRightInd w:val="0"/>
        <w:snapToGrid w:val="0"/>
        <w:spacing w:line="288" w:lineRule="auto"/>
        <w:ind w:firstLine="495" w:firstLineChars="236"/>
        <w:rPr>
          <w:rFonts w:ascii="宋体" w:hAnsi="宋体" w:eastAsia="宋体" w:cs="Times New Roman"/>
          <w:szCs w:val="21"/>
        </w:rPr>
      </w:pPr>
      <w:r>
        <w:rPr>
          <w:rFonts w:hint="eastAsia" w:ascii="宋体" w:hAnsi="宋体" w:eastAsia="宋体" w:cs="Times New Roman"/>
          <w:szCs w:val="21"/>
        </w:rPr>
        <w:t>注：</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从业人员、营业收入、资产总额填报上一年度数据，无上一年度数据的新成立企业可不填报。</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中小企业参加政府采购活动，应当出具财库〔2020〕46号文件规定的《中小企业声明函》，否则不得享受相关中小企业扶持政策。</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.本项目仅以《中小企业声明函》作为评判供应商是否属于中小企业的唯一依据。</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.供应商提供《中小企业声明函》内容不实的，属于提供虚假材料谋取中标、成交，依照《中华人民共和国政府采购法》等国家有关规定追究相应责任。</w:t>
      </w:r>
    </w:p>
    <w:p>
      <w:pPr>
        <w:adjustRightInd w:val="0"/>
        <w:snapToGrid w:val="0"/>
        <w:spacing w:line="288" w:lineRule="auto"/>
        <w:ind w:firstLine="495" w:firstLineChars="236"/>
        <w:rPr>
          <w:rFonts w:ascii="宋体" w:hAnsi="宋体" w:eastAsia="宋体"/>
          <w:u w:val="single"/>
        </w:rPr>
      </w:pPr>
      <w:r>
        <w:rPr>
          <w:rFonts w:ascii="宋体" w:hAnsi="宋体" w:eastAsia="宋体" w:cs="Times New Roman"/>
          <w:szCs w:val="21"/>
          <w:u w:val="single"/>
        </w:rPr>
        <w:t>5.</w:t>
      </w:r>
      <w:r>
        <w:rPr>
          <w:rFonts w:hint="eastAsia" w:ascii="宋体" w:hAnsi="宋体" w:eastAsia="宋体" w:cs="Times New Roman"/>
          <w:szCs w:val="21"/>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u w:val="single"/>
        </w:rPr>
        <w:t>不享受中小企业扶持政策。</w:t>
      </w:r>
    </w:p>
    <w:p>
      <w:pPr>
        <w:adjustRightInd w:val="0"/>
        <w:snapToGrid w:val="0"/>
        <w:spacing w:line="288" w:lineRule="auto"/>
        <w:ind w:firstLine="495" w:firstLineChars="236"/>
        <w:rPr>
          <w:rFonts w:ascii="宋体" w:hAnsi="宋体" w:eastAsia="宋体" w:cs="宋体"/>
          <w:szCs w:val="21"/>
          <w:u w:val="single"/>
        </w:rPr>
      </w:pPr>
      <w:r>
        <w:rPr>
          <w:rFonts w:hint="eastAsia" w:ascii="宋体" w:hAnsi="宋体" w:eastAsia="宋体" w:cs="Times New Roman"/>
          <w:szCs w:val="21"/>
          <w:u w:val="single"/>
        </w:rPr>
        <w:t>6</w:t>
      </w:r>
      <w:r>
        <w:rPr>
          <w:rFonts w:ascii="宋体" w:hAnsi="宋体" w:eastAsia="宋体" w:cs="Times New Roman"/>
          <w:szCs w:val="21"/>
          <w:u w:val="single"/>
        </w:rPr>
        <w:t>.如项目包含“多件”标的物的，需按标的物项数逐项填写。</w:t>
      </w:r>
    </w:p>
    <w:p>
      <w:pPr>
        <w:widowControl/>
        <w:adjustRightInd w:val="0"/>
        <w:snapToGrid w:val="0"/>
        <w:spacing w:line="288" w:lineRule="auto"/>
        <w:ind w:firstLine="495" w:firstLineChars="236"/>
        <w:jc w:val="left"/>
        <w:rPr>
          <w:rFonts w:ascii="宋体" w:hAnsi="宋体" w:eastAsia="宋体" w:cs="Times New Roman"/>
          <w:szCs w:val="21"/>
        </w:rPr>
      </w:pPr>
      <w:r>
        <w:rPr>
          <w:rFonts w:ascii="宋体" w:hAnsi="宋体" w:eastAsia="宋体" w:cs="Times New Roman"/>
          <w:szCs w:val="21"/>
        </w:rPr>
        <w:br w:type="page"/>
      </w:r>
    </w:p>
    <w:p>
      <w:pPr>
        <w:adjustRightInd w:val="0"/>
        <w:snapToGrid w:val="0"/>
        <w:spacing w:line="288" w:lineRule="auto"/>
        <w:jc w:val="center"/>
        <w:outlineLvl w:val="2"/>
        <w:rPr>
          <w:rFonts w:ascii="宋体" w:hAnsi="宋体" w:eastAsia="宋体" w:cs="宋体"/>
          <w:color w:val="000000"/>
          <w:kern w:val="0"/>
          <w:szCs w:val="21"/>
          <w:highlight w:val="yellow"/>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）属于监狱企业的证明文件（若属于监狱企业）</w:t>
      </w:r>
    </w:p>
    <w:p>
      <w:pPr>
        <w:adjustRightInd w:val="0"/>
        <w:snapToGrid w:val="0"/>
        <w:spacing w:line="288" w:lineRule="auto"/>
        <w:rPr>
          <w:rFonts w:ascii="宋体" w:hAnsi="宋体" w:eastAsia="宋体" w:cs="宋体"/>
          <w:color w:val="000000"/>
          <w:kern w:val="0"/>
          <w:szCs w:val="21"/>
        </w:rPr>
      </w:pPr>
    </w:p>
    <w:p>
      <w:pPr>
        <w:adjustRightInd w:val="0"/>
        <w:snapToGrid w:val="0"/>
        <w:spacing w:line="288" w:lineRule="auto"/>
        <w:ind w:firstLine="373" w:firstLineChars="177"/>
        <w:rPr>
          <w:rFonts w:ascii="宋体" w:hAnsi="宋体" w:eastAsia="宋体"/>
          <w:b/>
          <w:bCs/>
          <w:szCs w:val="21"/>
        </w:rPr>
      </w:pPr>
      <w:r>
        <w:rPr>
          <w:rFonts w:hint="eastAsia" w:ascii="宋体" w:hAnsi="宋体" w:eastAsia="宋体" w:cs="宋体"/>
          <w:b/>
          <w:bCs/>
          <w:color w:val="000000"/>
          <w:kern w:val="0"/>
          <w:szCs w:val="21"/>
        </w:rPr>
        <w:t>监狱企业参加政府采购活动时，应当提供由省级以上监狱管理局、戒毒管理局（含新疆生产建设兵团）出具的属于监狱企业的证明文件。</w:t>
      </w:r>
    </w:p>
    <w:p>
      <w:pPr>
        <w:adjustRightInd w:val="0"/>
        <w:snapToGrid w:val="0"/>
        <w:spacing w:line="288" w:lineRule="auto"/>
        <w:rPr>
          <w:rFonts w:ascii="宋体" w:hAnsi="宋体" w:eastAsia="宋体"/>
          <w:szCs w:val="21"/>
        </w:rPr>
      </w:pPr>
    </w:p>
    <w:p>
      <w:pPr>
        <w:adjustRightInd w:val="0"/>
        <w:snapToGrid w:val="0"/>
        <w:spacing w:line="288" w:lineRule="auto"/>
        <w:rPr>
          <w:rFonts w:ascii="宋体" w:hAnsi="宋体" w:eastAsia="宋体"/>
          <w:b/>
          <w:bCs/>
          <w:szCs w:val="21"/>
        </w:rPr>
      </w:pPr>
      <w:r>
        <w:rPr>
          <w:rFonts w:hint="eastAsia" w:ascii="宋体" w:hAnsi="宋体" w:eastAsia="宋体"/>
          <w:b/>
          <w:bCs/>
          <w:szCs w:val="21"/>
        </w:rPr>
        <w:t>说明：</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Cs w:val="21"/>
        </w:rPr>
      </w:pPr>
      <w:r>
        <w:rPr>
          <w:rFonts w:hint="eastAsia" w:ascii="宋体" w:hAnsi="宋体" w:eastAsia="宋体" w:cs="宋体"/>
          <w:color w:val="000000"/>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Cs w:val="21"/>
        </w:rPr>
      </w:pPr>
      <w:r>
        <w:rPr>
          <w:rFonts w:hint="eastAsia" w:ascii="宋体" w:hAnsi="宋体" w:eastAsia="宋体" w:cs="宋体"/>
          <w:color w:val="000000"/>
          <w:kern w:val="0"/>
          <w:szCs w:val="21"/>
        </w:rPr>
        <w:t>二、在政府采购活动中，监狱企业视同小型、微型企业，享受预留份额、评审中价格扣除等政府采购促进中小企业发展的政府采购政策。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）残疾人福利性单位声明函（若属于残疾人福利性单位）</w:t>
      </w:r>
    </w:p>
    <w:p>
      <w:pPr>
        <w:adjustRightInd w:val="0"/>
        <w:snapToGrid w:val="0"/>
        <w:spacing w:line="288" w:lineRule="auto"/>
        <w:rPr>
          <w:rFonts w:ascii="宋体" w:hAnsi="宋体" w:eastAsia="宋体" w:cs="Times New Roman"/>
          <w:b/>
          <w:spacing w:val="6"/>
          <w:szCs w:val="21"/>
        </w:rPr>
      </w:pPr>
    </w:p>
    <w:p>
      <w:pPr>
        <w:adjustRightInd w:val="0"/>
        <w:snapToGrid w:val="0"/>
        <w:spacing w:line="288" w:lineRule="auto"/>
        <w:ind w:firstLine="444" w:firstLineChars="200"/>
        <w:rPr>
          <w:rFonts w:ascii="宋体" w:hAnsi="宋体" w:eastAsia="宋体" w:cs="Times New Roman"/>
          <w:spacing w:val="6"/>
          <w:szCs w:val="21"/>
        </w:rPr>
      </w:pPr>
      <w:r>
        <w:rPr>
          <w:rFonts w:hint="eastAsia" w:ascii="宋体" w:hAnsi="宋体" w:eastAsia="宋体" w:cs="Times New Roman"/>
          <w:spacing w:val="6"/>
          <w:szCs w:val="21"/>
        </w:rPr>
        <w:t>本单位郑重声明，根据《财政部 民政部 中国残疾人联合会关于促进残疾人就业政府采购政策的通知》（财库</w:t>
      </w:r>
      <w:r>
        <w:rPr>
          <w:rFonts w:hint="eastAsia" w:ascii="宋体" w:hAnsi="宋体" w:eastAsia="宋体" w:cs="Times New Roman"/>
          <w:szCs w:val="21"/>
        </w:rPr>
        <w:t>〔2017〕 141</w:t>
      </w:r>
      <w:r>
        <w:rPr>
          <w:rFonts w:hint="eastAsia" w:ascii="宋体" w:hAnsi="宋体" w:eastAsia="宋体" w:cs="Times New Roman"/>
          <w:spacing w:val="6"/>
          <w:szCs w:val="21"/>
        </w:rPr>
        <w:t>号）的规定，</w:t>
      </w:r>
      <w:r>
        <w:rPr>
          <w:rFonts w:hint="eastAsia" w:ascii="宋体" w:hAnsi="宋体" w:eastAsia="宋体" w:cs="Times New Roman"/>
          <w:b/>
          <w:bCs/>
          <w:spacing w:val="6"/>
          <w:szCs w:val="21"/>
        </w:rPr>
        <w:t>本单位为符合条件的残疾人福利性单位</w:t>
      </w:r>
      <w:r>
        <w:rPr>
          <w:rFonts w:hint="eastAsia" w:ascii="宋体" w:hAnsi="宋体" w:eastAsia="宋体" w:cs="Times New Roman"/>
          <w:spacing w:val="6"/>
          <w:szCs w:val="21"/>
        </w:rPr>
        <w:t>，且本单位参加______（采购人）单位的______（项目名称）项目采购活动提供本单位制造的货物，或者提供其他残疾人福利性单位制造的货物（不包括使用非残疾人福利性单位注册商标的货物）。</w:t>
      </w:r>
    </w:p>
    <w:p>
      <w:pPr>
        <w:adjustRightInd w:val="0"/>
        <w:snapToGrid w:val="0"/>
        <w:spacing w:line="288" w:lineRule="auto"/>
        <w:ind w:firstLine="444" w:firstLineChars="200"/>
        <w:rPr>
          <w:rFonts w:ascii="宋体" w:hAnsi="宋体" w:eastAsia="宋体" w:cs="Times New Roman"/>
          <w:spacing w:val="6"/>
          <w:szCs w:val="21"/>
        </w:rPr>
      </w:pPr>
      <w:r>
        <w:rPr>
          <w:rFonts w:hint="eastAsia" w:ascii="宋体" w:hAnsi="宋体" w:eastAsia="宋体" w:cs="Times New Roman"/>
          <w:spacing w:val="6"/>
          <w:szCs w:val="21"/>
        </w:rPr>
        <w:t>本单位对上述声明的真实性负责。如有虚假，将依法承担相应责任。</w:t>
      </w:r>
    </w:p>
    <w:p>
      <w:pPr>
        <w:tabs>
          <w:tab w:val="left" w:pos="4860"/>
        </w:tabs>
        <w:adjustRightInd w:val="0"/>
        <w:snapToGrid w:val="0"/>
        <w:spacing w:line="288" w:lineRule="auto"/>
        <w:ind w:right="1560" w:firstLine="444" w:firstLineChars="200"/>
        <w:rPr>
          <w:rFonts w:ascii="宋体" w:hAnsi="宋体" w:eastAsia="宋体" w:cs="Times New Roman"/>
          <w:spacing w:val="6"/>
          <w:szCs w:val="21"/>
        </w:rPr>
      </w:pPr>
      <w:r>
        <w:rPr>
          <w:rFonts w:hint="eastAsia" w:ascii="宋体" w:hAnsi="宋体" w:eastAsia="宋体" w:cs="Times New Roman"/>
          <w:spacing w:val="6"/>
          <w:szCs w:val="21"/>
        </w:rPr>
        <w:t>单位名称（盖章）：</w:t>
      </w:r>
    </w:p>
    <w:p>
      <w:pPr>
        <w:tabs>
          <w:tab w:val="left" w:pos="4860"/>
        </w:tabs>
        <w:adjustRightInd w:val="0"/>
        <w:snapToGrid w:val="0"/>
        <w:spacing w:line="288" w:lineRule="auto"/>
        <w:ind w:right="1560" w:firstLine="444" w:firstLineChars="200"/>
        <w:rPr>
          <w:rFonts w:ascii="宋体" w:hAnsi="宋体" w:eastAsia="宋体" w:cs="Times New Roman"/>
          <w:spacing w:val="6"/>
          <w:szCs w:val="21"/>
        </w:rPr>
      </w:pPr>
      <w:r>
        <w:rPr>
          <w:rFonts w:hint="eastAsia" w:ascii="宋体" w:hAnsi="宋体" w:eastAsia="宋体" w:cs="Times New Roman"/>
          <w:spacing w:val="6"/>
          <w:szCs w:val="21"/>
        </w:rPr>
        <w:t>日  期：</w:t>
      </w:r>
    </w:p>
    <w:p>
      <w:pPr>
        <w:adjustRightInd w:val="0"/>
        <w:snapToGrid w:val="0"/>
        <w:spacing w:line="288" w:lineRule="auto"/>
        <w:rPr>
          <w:rFonts w:ascii="宋体" w:hAnsi="宋体" w:eastAsia="宋体"/>
          <w:szCs w:val="21"/>
        </w:rPr>
      </w:pPr>
    </w:p>
    <w:p>
      <w:pPr>
        <w:adjustRightInd w:val="0"/>
        <w:snapToGrid w:val="0"/>
        <w:spacing w:line="288" w:lineRule="auto"/>
        <w:rPr>
          <w:rFonts w:ascii="宋体" w:hAnsi="宋体" w:eastAsia="宋体"/>
          <w:b/>
          <w:bCs/>
          <w:szCs w:val="21"/>
        </w:rPr>
      </w:pPr>
      <w:r>
        <w:rPr>
          <w:rFonts w:hint="eastAsia" w:ascii="宋体" w:hAnsi="宋体" w:eastAsia="宋体"/>
          <w:b/>
          <w:bCs/>
          <w:szCs w:val="21"/>
        </w:rPr>
        <w:t>说明：</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一、享受政府采购支持政策的残疾人福利性单位应当同时满足以下条件：</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（一）安置的残疾人占本单位在职职工人数的比例不低于25%（含25%），并且安置的残疾人人数不少于10人（含10人）；</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（二）依法与安置的每位残疾人签订了一年以上（含一年）的劳动合同或服务协议；</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（三）为安置的每位残疾人按月足额缴纳了基本养老保险、基本医疗保险、失业保险、工伤保险和生育保险等社会保险费；</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（四）通过银行等金融机构向安置的每位残疾人，按月支付了不低于单位所在区县适用的经省级人民政府批准的月最低工资标准的工资；</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（五）提供本单位制造的货物、承担的工程或者服务（以下简称产品），或者提供其他残疾人福利性单位制造的货物（不包括使用非残疾人福利性单位注册商标的货物）。</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0"/>
        <w:shd w:val="clear" w:color="auto" w:fill="FFFFFF"/>
        <w:adjustRightInd w:val="0"/>
        <w:snapToGrid w:val="0"/>
        <w:spacing w:before="0" w:beforeAutospacing="0" w:after="0" w:afterAutospacing="0" w:line="288" w:lineRule="auto"/>
        <w:ind w:firstLine="371" w:firstLineChars="177"/>
        <w:rPr>
          <w:color w:val="FF0000"/>
          <w:sz w:val="21"/>
          <w:szCs w:val="21"/>
        </w:rPr>
      </w:pPr>
      <w:r>
        <w:rPr>
          <w:rFonts w:hint="eastAsia"/>
          <w:color w:val="000000"/>
          <w:sz w:val="21"/>
          <w:szCs w:val="21"/>
        </w:rPr>
        <w:t>二、符合条件的残疾人福利性单位在参加政府采购活动时，应当提供</w:t>
      </w:r>
      <w:r>
        <w:rPr>
          <w:rFonts w:hint="eastAsia"/>
          <w:sz w:val="21"/>
          <w:szCs w:val="21"/>
        </w:rPr>
        <w:t>财库</w:t>
      </w:r>
      <w:r>
        <w:rPr>
          <w:sz w:val="21"/>
          <w:szCs w:val="21"/>
        </w:rPr>
        <w:t>[2017]141号</w:t>
      </w:r>
      <w:r>
        <w:rPr>
          <w:rFonts w:hint="eastAsia"/>
          <w:sz w:val="21"/>
          <w:szCs w:val="21"/>
        </w:rPr>
        <w:t>文件</w:t>
      </w:r>
      <w:r>
        <w:rPr>
          <w:rFonts w:hint="eastAsia"/>
          <w:color w:val="000000"/>
          <w:sz w:val="21"/>
          <w:szCs w:val="21"/>
        </w:rPr>
        <w:t>规定的《残疾人福利性单位声明函》</w:t>
      </w:r>
      <w:r>
        <w:rPr>
          <w:rFonts w:hint="eastAsia"/>
          <w:sz w:val="21"/>
          <w:szCs w:val="21"/>
        </w:rPr>
        <w:t>，并对声明的真实性负责。</w:t>
      </w:r>
    </w:p>
    <w:p>
      <w:pPr>
        <w:pStyle w:val="20"/>
        <w:shd w:val="clear" w:color="auto" w:fill="FFFFFF"/>
        <w:adjustRightInd w:val="0"/>
        <w:snapToGrid w:val="0"/>
        <w:spacing w:before="0" w:beforeAutospacing="0" w:after="0" w:afterAutospacing="0" w:line="288" w:lineRule="auto"/>
        <w:ind w:firstLine="371" w:firstLineChars="177"/>
        <w:rPr>
          <w:color w:val="FF0000"/>
          <w:sz w:val="21"/>
          <w:szCs w:val="21"/>
        </w:rPr>
      </w:pPr>
      <w:r>
        <w:rPr>
          <w:rFonts w:hint="eastAsia"/>
          <w:color w:val="000000"/>
          <w:sz w:val="21"/>
          <w:szCs w:val="21"/>
        </w:rPr>
        <w:t>三、在政府采购活动中，残疾人福利性单位视同小型、微型企业，享受预留份额、评审中价格扣除等促进中小企业发展的政府采购政策。</w:t>
      </w:r>
    </w:p>
    <w:p>
      <w:pPr>
        <w:pStyle w:val="20"/>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残疾人福利性单位属于小型、微型企业的，不重复享受政策。</w:t>
      </w:r>
    </w:p>
    <w:p>
      <w:pPr>
        <w:widowControl/>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outlineLvl w:val="2"/>
        <w:rPr>
          <w:rFonts w:ascii="宋体" w:hAnsi="宋体" w:eastAsia="宋体" w:cs="Times New Roman"/>
          <w:b/>
          <w:bCs/>
          <w:szCs w:val="21"/>
        </w:rPr>
      </w:pPr>
      <w:r>
        <w:rPr>
          <w:rFonts w:hint="eastAsia" w:ascii="宋体" w:hAnsi="宋体" w:eastAsia="宋体" w:cs="Times New Roman"/>
          <w:b/>
          <w:spacing w:val="-6"/>
          <w:szCs w:val="21"/>
        </w:rPr>
        <w:t>附件1：</w:t>
      </w:r>
      <w:r>
        <w:rPr>
          <w:rFonts w:hint="eastAsia" w:ascii="宋体" w:hAnsi="宋体" w:eastAsia="宋体" w:cs="Times New Roman"/>
          <w:b/>
          <w:bCs/>
          <w:szCs w:val="21"/>
        </w:rPr>
        <w:t>业务专用章使用说明函</w:t>
      </w:r>
    </w:p>
    <w:p>
      <w:pPr>
        <w:snapToGrid w:val="0"/>
        <w:spacing w:line="288" w:lineRule="auto"/>
        <w:rPr>
          <w:rFonts w:ascii="宋体" w:hAnsi="宋体" w:eastAsia="宋体" w:cs="仿宋_GB2312"/>
          <w:szCs w:val="21"/>
          <w:u w:val="single"/>
        </w:rPr>
      </w:pPr>
    </w:p>
    <w:p>
      <w:pPr>
        <w:snapToGrid w:val="0"/>
        <w:spacing w:line="288" w:lineRule="auto"/>
        <w:rPr>
          <w:rFonts w:ascii="宋体" w:hAnsi="宋体" w:eastAsia="宋体" w:cs="Times New Roman"/>
          <w:szCs w:val="21"/>
        </w:rPr>
      </w:pPr>
      <w:r>
        <w:rPr>
          <w:rFonts w:hint="eastAsia" w:ascii="宋体" w:hAnsi="宋体" w:eastAsia="宋体" w:cs="仿宋_GB2312"/>
          <w:szCs w:val="21"/>
          <w:u w:val="single"/>
        </w:rPr>
        <w:t>（采购人）、（采购代理机构）</w:t>
      </w:r>
    </w:p>
    <w:p>
      <w:pPr>
        <w:snapToGrid w:val="0"/>
        <w:spacing w:line="288" w:lineRule="auto"/>
        <w:ind w:firstLine="424" w:firstLineChars="202"/>
        <w:rPr>
          <w:rFonts w:ascii="宋体" w:hAnsi="宋体" w:eastAsia="宋体" w:cs="宋体"/>
          <w:szCs w:val="21"/>
        </w:rPr>
      </w:pPr>
      <w:r>
        <w:rPr>
          <w:rFonts w:hint="eastAsia" w:ascii="宋体" w:hAnsi="宋体" w:eastAsia="宋体" w:cs="仿宋_GB2312"/>
          <w:kern w:val="0"/>
          <w:szCs w:val="21"/>
          <w:lang w:val="zh-CN"/>
        </w:rPr>
        <w:t>我方</w:t>
      </w:r>
      <w:r>
        <w:rPr>
          <w:rFonts w:ascii="宋体" w:hAnsi="宋体" w:eastAsia="宋体" w:cs="仿宋_GB2312"/>
          <w:kern w:val="0"/>
          <w:szCs w:val="21"/>
          <w:u w:val="single"/>
          <w:lang w:val="zh-CN"/>
        </w:rPr>
        <w:t xml:space="preserve">                         </w:t>
      </w:r>
      <w:r>
        <w:rPr>
          <w:rFonts w:ascii="宋体" w:hAnsi="宋体" w:eastAsia="宋体" w:cs="仿宋_GB2312"/>
          <w:szCs w:val="21"/>
        </w:rPr>
        <w:t>(</w:t>
      </w:r>
      <w:r>
        <w:rPr>
          <w:rFonts w:hint="eastAsia" w:ascii="宋体" w:hAnsi="宋体" w:eastAsia="宋体" w:cs="仿宋_GB2312"/>
          <w:szCs w:val="21"/>
        </w:rPr>
        <w:t>供应商</w:t>
      </w:r>
      <w:r>
        <w:rPr>
          <w:rFonts w:ascii="宋体" w:hAnsi="宋体" w:eastAsia="宋体" w:cs="仿宋_GB2312"/>
          <w:szCs w:val="21"/>
        </w:rPr>
        <w:t>全称)</w:t>
      </w:r>
      <w:r>
        <w:rPr>
          <w:rFonts w:hint="eastAsia" w:ascii="宋体" w:hAnsi="宋体" w:eastAsia="宋体" w:cs="Times New Roman"/>
          <w:szCs w:val="21"/>
        </w:rPr>
        <w:t>是中华人民共和国依法登记注册的合法企业，</w:t>
      </w:r>
      <w:r>
        <w:rPr>
          <w:rFonts w:hint="eastAsia" w:ascii="宋体" w:hAnsi="宋体" w:eastAsia="宋体" w:cs="宋体"/>
          <w:bCs/>
          <w:szCs w:val="21"/>
        </w:rPr>
        <w:t>在参加</w:t>
      </w:r>
      <w:r>
        <w:rPr>
          <w:rFonts w:hint="eastAsia" w:ascii="宋体" w:hAnsi="宋体" w:eastAsia="宋体" w:cs="仿宋_GB2312"/>
          <w:szCs w:val="21"/>
        </w:rPr>
        <w:t>你方组织的</w:t>
      </w:r>
      <w:r>
        <w:rPr>
          <w:rFonts w:hint="eastAsia" w:ascii="宋体" w:hAnsi="宋体" w:eastAsia="宋体" w:cs="仿宋_GB2312"/>
          <w:szCs w:val="21"/>
          <w:u w:val="single"/>
        </w:rPr>
        <w:t>（项目名称）</w:t>
      </w:r>
      <w:r>
        <w:rPr>
          <w:rFonts w:hint="eastAsia" w:ascii="宋体" w:hAnsi="宋体" w:eastAsia="宋体" w:cs="仿宋_GB2312"/>
          <w:szCs w:val="21"/>
        </w:rPr>
        <w:t>项目</w:t>
      </w:r>
      <w:r>
        <w:rPr>
          <w:rFonts w:hint="eastAsia" w:ascii="宋体" w:hAnsi="宋体" w:eastAsia="宋体" w:cs="仿宋_GB2312"/>
          <w:szCs w:val="21"/>
          <w:u w:val="single"/>
        </w:rPr>
        <w:t>（项目编号）</w:t>
      </w:r>
      <w:r>
        <w:rPr>
          <w:rFonts w:hint="eastAsia" w:ascii="宋体" w:hAnsi="宋体" w:eastAsia="宋体" w:cs="宋体"/>
          <w:bCs/>
          <w:szCs w:val="21"/>
        </w:rPr>
        <w:t>投标（响应）活动中作如下说明：</w:t>
      </w:r>
      <w:r>
        <w:rPr>
          <w:rFonts w:hint="eastAsia" w:ascii="宋体" w:hAnsi="宋体" w:eastAsia="宋体" w:cs="宋体"/>
          <w:szCs w:val="21"/>
        </w:rPr>
        <w:t>我方所使用的</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与法定名称章具有同等的法律效力，对使用</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的行为予以完全承认，并愿意承担相应责任。</w:t>
      </w:r>
    </w:p>
    <w:p>
      <w:pPr>
        <w:snapToGrid w:val="0"/>
        <w:spacing w:line="288" w:lineRule="auto"/>
        <w:ind w:firstLine="424" w:firstLineChars="202"/>
        <w:rPr>
          <w:rFonts w:ascii="宋体" w:hAnsi="宋体" w:eastAsia="宋体" w:cs="宋体"/>
          <w:szCs w:val="21"/>
        </w:rPr>
      </w:pPr>
      <w:r>
        <w:rPr>
          <w:rFonts w:hint="eastAsia" w:ascii="宋体" w:hAnsi="宋体" w:eastAsia="宋体" w:cs="宋体"/>
          <w:szCs w:val="21"/>
        </w:rPr>
        <w:t>特此说明。</w:t>
      </w:r>
    </w:p>
    <w:p>
      <w:pPr>
        <w:snapToGrid w:val="0"/>
        <w:spacing w:line="288" w:lineRule="auto"/>
        <w:ind w:right="480" w:firstLine="424" w:firstLineChars="202"/>
        <w:rPr>
          <w:rFonts w:ascii="宋体" w:hAnsi="宋体" w:eastAsia="宋体" w:cs="宋体"/>
          <w:szCs w:val="21"/>
        </w:rPr>
      </w:pPr>
      <w:r>
        <w:rPr>
          <w:rFonts w:hint="eastAsia" w:ascii="宋体" w:hAnsi="宋体" w:eastAsia="宋体" w:cs="宋体"/>
          <w:szCs w:val="21"/>
        </w:rPr>
        <w:t>供应商（法定名称章）：</w:t>
      </w:r>
    </w:p>
    <w:p>
      <w:pPr>
        <w:snapToGrid w:val="0"/>
        <w:spacing w:line="288" w:lineRule="auto"/>
        <w:ind w:right="1440" w:firstLine="424" w:firstLineChars="202"/>
        <w:rPr>
          <w:rFonts w:ascii="宋体" w:hAnsi="宋体" w:eastAsia="宋体" w:cs="宋体"/>
          <w:szCs w:val="21"/>
        </w:rPr>
      </w:pPr>
      <w:r>
        <w:rPr>
          <w:rFonts w:ascii="宋体" w:hAnsi="宋体" w:eastAsia="宋体" w:cs="宋体"/>
          <w:szCs w:val="21"/>
        </w:rPr>
        <w:t>日期：       年     月     日</w:t>
      </w:r>
    </w:p>
    <w:p>
      <w:pPr>
        <w:snapToGrid w:val="0"/>
        <w:spacing w:line="288" w:lineRule="auto"/>
        <w:rPr>
          <w:rFonts w:ascii="宋体" w:hAnsi="宋体" w:eastAsia="宋体" w:cs="宋体"/>
          <w:b/>
          <w:bCs/>
          <w:szCs w:val="21"/>
        </w:rPr>
      </w:pPr>
    </w:p>
    <w:p>
      <w:pPr>
        <w:snapToGrid w:val="0"/>
        <w:spacing w:line="288" w:lineRule="auto"/>
        <w:rPr>
          <w:rFonts w:ascii="宋体" w:hAnsi="宋体" w:eastAsia="宋体" w:cs="宋体"/>
          <w:szCs w:val="21"/>
        </w:rPr>
      </w:pPr>
      <w:r>
        <w:rPr>
          <w:rFonts w:hint="eastAsia" w:ascii="宋体" w:hAnsi="宋体" w:eastAsia="宋体" w:cs="宋体"/>
          <w:b/>
          <w:bCs/>
          <w:szCs w:val="21"/>
        </w:rPr>
        <w:t>附：</w:t>
      </w:r>
      <w:r>
        <w:rPr>
          <w:rFonts w:hint="eastAsia" w:ascii="宋体" w:hAnsi="宋体" w:eastAsia="宋体" w:cs="宋体"/>
          <w:szCs w:val="21"/>
        </w:rPr>
        <w:t>供应商法定名称章（印模）</w:t>
      </w:r>
      <w:r>
        <w:rPr>
          <w:rFonts w:ascii="宋体" w:hAnsi="宋体" w:eastAsia="宋体" w:cs="宋体"/>
          <w:szCs w:val="21"/>
        </w:rPr>
        <w:t xml:space="preserve">                </w:t>
      </w:r>
      <w:r>
        <w:rPr>
          <w:rFonts w:hint="eastAsia" w:ascii="宋体" w:hAnsi="宋体" w:eastAsia="宋体" w:cs="宋体"/>
          <w:szCs w:val="21"/>
        </w:rPr>
        <w:t>供应商“</w:t>
      </w:r>
      <w:r>
        <w:rPr>
          <w:rFonts w:ascii="宋体" w:hAnsi="宋体" w:eastAsia="宋体" w:cs="仿宋_GB2312"/>
          <w:szCs w:val="21"/>
        </w:rPr>
        <w:t>XX</w:t>
      </w:r>
      <w:r>
        <w:rPr>
          <w:rFonts w:hint="eastAsia" w:ascii="宋体" w:hAnsi="宋体" w:eastAsia="宋体" w:cs="宋体"/>
          <w:szCs w:val="21"/>
        </w:rPr>
        <w:t>专用章”（印模）</w:t>
      </w:r>
    </w:p>
    <w:p>
      <w:pPr>
        <w:snapToGrid w:val="0"/>
        <w:spacing w:line="288" w:lineRule="auto"/>
        <w:rPr>
          <w:rFonts w:ascii="宋体" w:hAnsi="宋体" w:eastAsia="宋体" w:cs="宋体"/>
          <w:szCs w:val="21"/>
        </w:rPr>
      </w:pPr>
      <w:r>
        <w:rPr>
          <w:rFonts w:ascii="宋体" w:hAnsi="宋体" w:eastAsia="宋体" w:cs="Times New Roman"/>
          <w:b/>
          <w:bCs/>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szCs w:val="21"/>
        </w:rPr>
        <w:t xml:space="preserve"> </w:t>
      </w:r>
      <w:r>
        <w:rPr>
          <w:rFonts w:ascii="宋体" w:hAnsi="宋体" w:eastAsia="宋体" w:cs="Times New Roman"/>
          <w:b/>
          <w:bCs/>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pPr>
        <w:widowControl/>
        <w:jc w:val="left"/>
        <w:rPr>
          <w:rFonts w:ascii="宋体" w:hAnsi="宋体" w:eastAsia="宋体" w:cs="Times New Roman"/>
          <w:b/>
          <w:spacing w:val="-6"/>
          <w:szCs w:val="21"/>
        </w:rPr>
      </w:pPr>
      <w:r>
        <w:rPr>
          <w:rFonts w:ascii="宋体" w:hAnsi="宋体" w:eastAsia="宋体" w:cs="Times New Roman"/>
          <w:b/>
          <w:spacing w:val="-6"/>
          <w:szCs w:val="21"/>
        </w:rPr>
        <w:br w:type="page"/>
      </w:r>
    </w:p>
    <w:p>
      <w:pPr>
        <w:snapToGrid w:val="0"/>
        <w:spacing w:line="288" w:lineRule="auto"/>
        <w:jc w:val="center"/>
        <w:outlineLvl w:val="2"/>
        <w:rPr>
          <w:rFonts w:ascii="宋体" w:hAnsi="宋体" w:eastAsia="宋体" w:cs="仿宋_GB2312"/>
          <w:b/>
          <w:kern w:val="0"/>
          <w:szCs w:val="21"/>
          <w:lang w:val="zh-CN"/>
        </w:rPr>
      </w:pPr>
      <w:r>
        <w:rPr>
          <w:rFonts w:hint="eastAsia" w:ascii="宋体" w:hAnsi="宋体" w:eastAsia="宋体" w:cs="仿宋_GB2312"/>
          <w:b/>
          <w:kern w:val="0"/>
          <w:szCs w:val="21"/>
          <w:lang w:val="zh-CN"/>
        </w:rPr>
        <w:t>附件2</w:t>
      </w:r>
      <w:r>
        <w:rPr>
          <w:rFonts w:ascii="宋体" w:hAnsi="宋体" w:eastAsia="宋体" w:cs="仿宋_GB2312"/>
          <w:b/>
          <w:kern w:val="0"/>
          <w:szCs w:val="21"/>
          <w:lang w:val="zh-CN"/>
        </w:rPr>
        <w:t>：</w:t>
      </w:r>
      <w:r>
        <w:rPr>
          <w:rFonts w:hint="eastAsia" w:ascii="宋体" w:hAnsi="宋体" w:eastAsia="宋体" w:cs="仿宋_GB2312"/>
          <w:b/>
          <w:kern w:val="0"/>
          <w:szCs w:val="21"/>
          <w:lang w:val="zh-CN"/>
        </w:rPr>
        <w:t>联合协议</w:t>
      </w:r>
    </w:p>
    <w:p>
      <w:pPr>
        <w:widowControl/>
        <w:snapToGrid w:val="0"/>
        <w:spacing w:line="288" w:lineRule="auto"/>
        <w:ind w:firstLine="424" w:firstLineChars="201"/>
        <w:jc w:val="left"/>
        <w:rPr>
          <w:rFonts w:ascii="宋体" w:hAnsi="宋体" w:eastAsia="宋体" w:cs="仿宋_GB2312"/>
          <w:b/>
          <w:szCs w:val="21"/>
        </w:rPr>
      </w:pPr>
      <w:r>
        <w:rPr>
          <w:rFonts w:hint="eastAsia" w:ascii="宋体" w:hAnsi="宋体" w:eastAsia="宋体" w:cs="仿宋_GB2312"/>
          <w:b/>
          <w:szCs w:val="21"/>
        </w:rPr>
        <w:t>（以联合体形式投标的，提供联合协议；本项目不接受联合体投标或者投标人不以联合体形式投标的，则不需要提供）</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u w:val="single"/>
        </w:rPr>
        <w:t>（联合体所有成员名称）</w:t>
      </w:r>
      <w:r>
        <w:rPr>
          <w:rFonts w:hint="eastAsia" w:ascii="宋体" w:hAnsi="宋体" w:eastAsia="宋体" w:cs="仿宋_GB2312"/>
          <w:kern w:val="0"/>
          <w:szCs w:val="21"/>
        </w:rPr>
        <w:t>自愿</w:t>
      </w:r>
      <w:r>
        <w:rPr>
          <w:rFonts w:hint="eastAsia" w:ascii="宋体" w:hAnsi="宋体" w:eastAsia="宋体" w:cs="仿宋_GB2312"/>
          <w:kern w:val="0"/>
          <w:szCs w:val="21"/>
          <w:lang w:val="zh-CN"/>
        </w:rPr>
        <w:t>组成一个联合体，以一个投标人的身份</w:t>
      </w:r>
      <w:r>
        <w:rPr>
          <w:rFonts w:hint="eastAsia" w:ascii="宋体" w:hAnsi="宋体" w:eastAsia="宋体" w:cs="仿宋_GB2312"/>
          <w:kern w:val="0"/>
          <w:szCs w:val="21"/>
        </w:rPr>
        <w:t>参加</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投标。</w:t>
      </w:r>
      <w:r>
        <w:rPr>
          <w:rFonts w:ascii="宋体" w:hAnsi="宋体" w:eastAsia="宋体" w:cs="仿宋_GB2312"/>
          <w:kern w:val="0"/>
          <w:szCs w:val="21"/>
          <w:lang w:val="zh-CN"/>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一、各方一致决定，</w:t>
      </w:r>
      <w:r>
        <w:rPr>
          <w:rFonts w:hint="eastAsia" w:ascii="宋体" w:hAnsi="宋体" w:eastAsia="宋体" w:cs="仿宋_GB2312"/>
          <w:kern w:val="0"/>
          <w:szCs w:val="21"/>
          <w:u w:val="single"/>
        </w:rPr>
        <w:t>（某联合体成员名称）</w:t>
      </w:r>
      <w:r>
        <w:rPr>
          <w:rFonts w:hint="eastAsia" w:ascii="宋体" w:hAnsi="宋体" w:eastAsia="宋体" w:cs="仿宋_GB2312"/>
          <w:kern w:val="0"/>
          <w:szCs w:val="21"/>
        </w:rPr>
        <w:t>为联合体</w:t>
      </w:r>
      <w:r>
        <w:rPr>
          <w:rFonts w:hint="eastAsia" w:ascii="宋体" w:hAnsi="宋体" w:eastAsia="宋体" w:cs="仿宋_GB2312"/>
          <w:kern w:val="0"/>
          <w:szCs w:val="21"/>
          <w:lang w:val="zh-CN"/>
        </w:rPr>
        <w:t>牵头人</w:t>
      </w:r>
      <w:r>
        <w:rPr>
          <w:rFonts w:hint="eastAsia" w:ascii="宋体" w:hAnsi="宋体" w:eastAsia="宋体" w:cs="Arial"/>
          <w:szCs w:val="21"/>
        </w:rPr>
        <w:t>，代表所有联合体成员负责投标和合同实施阶段的主办、协调工作</w:t>
      </w:r>
      <w:r>
        <w:rPr>
          <w:rFonts w:hint="eastAsia" w:ascii="宋体" w:hAnsi="宋体" w:eastAsia="宋体" w:cs="仿宋_GB2312"/>
          <w:kern w:val="0"/>
          <w:szCs w:val="21"/>
          <w:lang w:val="zh-CN"/>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二、</w:t>
      </w:r>
      <w:r>
        <w:rPr>
          <w:rFonts w:hint="eastAsia" w:ascii="宋体" w:hAnsi="宋体" w:eastAsia="宋体" w:cs="Arial"/>
          <w:szCs w:val="21"/>
        </w:rPr>
        <w:t>所有联合体成员各方签署授权书，授权书载明的</w:t>
      </w:r>
      <w:r>
        <w:rPr>
          <w:rFonts w:hint="eastAsia" w:ascii="宋体" w:hAnsi="宋体" w:eastAsia="宋体" w:cs="仿宋_GB2312"/>
          <w:kern w:val="0"/>
          <w:szCs w:val="21"/>
          <w:lang w:val="zh-CN"/>
        </w:rPr>
        <w:t>授权代表根据招标文件规定及投标内容而对采购人、采购机构所作的任何合法承诺，包括书面澄清及相应等均对联合投标各方产生约束力。</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三、本次联合投标中，分工如下：</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lang w:val="zh-CN"/>
        </w:rPr>
        <w:t>承担的工作和义务为：</w:t>
      </w:r>
      <w:r>
        <w:rPr>
          <w:rFonts w:ascii="宋体" w:hAnsi="宋体" w:eastAsia="宋体" w:cs="Times New Roman"/>
          <w:szCs w:val="21"/>
          <w:u w:val="single"/>
        </w:rPr>
        <w:t xml:space="preserve">             </w:t>
      </w:r>
      <w:r>
        <w:rPr>
          <w:rFonts w:hint="eastAsia" w:ascii="宋体" w:hAnsi="宋体" w:eastAsia="宋体" w:cs="仿宋_GB2312"/>
          <w:kern w:val="0"/>
          <w:szCs w:val="21"/>
          <w:lang w:val="zh-CN"/>
        </w:rPr>
        <w:t>；</w:t>
      </w:r>
      <w:r>
        <w:rPr>
          <w:rFonts w:ascii="宋体" w:hAnsi="宋体" w:eastAsia="宋体" w:cs="仿宋_GB2312"/>
          <w:kern w:val="0"/>
          <w:szCs w:val="21"/>
          <w:lang w:val="zh-CN"/>
        </w:rPr>
        <w:t>……。</w:t>
      </w:r>
    </w:p>
    <w:p>
      <w:pPr>
        <w:snapToGrid w:val="0"/>
        <w:spacing w:line="288" w:lineRule="auto"/>
        <w:ind w:firstLine="422" w:firstLineChars="201"/>
        <w:rPr>
          <w:rFonts w:ascii="宋体" w:hAnsi="宋体" w:eastAsia="宋体" w:cs="仿宋_GB2312"/>
          <w:b/>
          <w:kern w:val="0"/>
          <w:szCs w:val="21"/>
          <w:lang w:val="zh-CN"/>
        </w:rPr>
      </w:pPr>
      <w:r>
        <w:rPr>
          <w:rFonts w:hint="eastAsia" w:ascii="宋体" w:hAnsi="宋体" w:eastAsia="宋体" w:cs="仿宋_GB2312"/>
          <w:kern w:val="0"/>
          <w:szCs w:val="21"/>
          <w:lang w:val="zh-CN"/>
        </w:rPr>
        <w:t>四、</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rPr>
        <w:t>提供的全部货物由小微企业制造，其合同份额占到合同总金额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仿宋_GB2312"/>
          <w:kern w:val="0"/>
          <w:szCs w:val="21"/>
          <w:lang w:val="zh-CN"/>
        </w:rPr>
        <w:t>……。</w:t>
      </w:r>
      <w:r>
        <w:rPr>
          <w:rFonts w:hint="eastAsia" w:ascii="宋体" w:hAnsi="宋体" w:eastAsia="宋体" w:cs="仿宋_GB2312"/>
          <w:b/>
          <w:kern w:val="0"/>
          <w:szCs w:val="21"/>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，对联合体报价给予</w:t>
      </w:r>
      <w:r>
        <w:rPr>
          <w:rFonts w:ascii="宋体" w:hAnsi="宋体" w:eastAsia="宋体" w:cs="仿宋_GB2312"/>
          <w:b/>
          <w:kern w:val="0"/>
          <w:szCs w:val="21"/>
          <w:lang w:val="zh-CN"/>
        </w:rPr>
        <w:t>6%的扣除</w:t>
      </w:r>
      <w:r>
        <w:rPr>
          <w:rFonts w:hint="eastAsia" w:ascii="宋体" w:hAnsi="宋体" w:eastAsia="宋体" w:cs="仿宋_GB2312"/>
          <w:b/>
          <w:kern w:val="0"/>
          <w:szCs w:val="21"/>
          <w:lang w:val="zh-CN"/>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五、如果中标，</w:t>
      </w:r>
      <w:r>
        <w:rPr>
          <w:rFonts w:hint="eastAsia" w:ascii="宋体" w:hAnsi="宋体" w:eastAsia="宋体" w:cs="Times New Roman"/>
          <w:szCs w:val="21"/>
        </w:rPr>
        <w:t>联合体各成员方共同与采购人签订合同，并就采购合同约定的事项对采购人承担连带责任。</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六、有关本次联合投标的其他事宜：</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仿宋_GB2312"/>
          <w:kern w:val="0"/>
          <w:szCs w:val="21"/>
          <w:lang w:val="zh-CN"/>
        </w:rPr>
        <w:t>1、联合体各方不再单独参加或者与其</w:t>
      </w:r>
      <w:r>
        <w:rPr>
          <w:rFonts w:hint="eastAsia" w:ascii="宋体" w:hAnsi="宋体" w:eastAsia="宋体" w:cs="仿宋_GB2312"/>
          <w:kern w:val="0"/>
          <w:szCs w:val="21"/>
          <w:lang w:val="zh-CN"/>
        </w:rPr>
        <w:t>他供应商另外组成联合体参加同一合同项下的政府采购活动。</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仿宋_GB2312"/>
          <w:kern w:val="0"/>
          <w:szCs w:val="21"/>
          <w:lang w:val="zh-CN"/>
        </w:rPr>
        <w:t>2、联合体中有同类资质的各方按照联合体分工承担相同工作的，按照资质等级较低的供应商确定资质等级。</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仿宋_GB2312"/>
          <w:kern w:val="0"/>
          <w:szCs w:val="21"/>
          <w:lang w:val="zh-CN"/>
        </w:rPr>
        <w:t>3、本协议提交采购人、采购机构后，联合体各方不得以任何形式对上述内容进行修改或撤销。</w:t>
      </w:r>
    </w:p>
    <w:p>
      <w:pPr>
        <w:snapToGrid w:val="0"/>
        <w:spacing w:line="288" w:lineRule="auto"/>
        <w:ind w:firstLine="422" w:firstLineChars="201"/>
        <w:rPr>
          <w:rFonts w:ascii="宋体" w:hAnsi="宋体" w:eastAsia="宋体" w:cs="仿宋_GB2312"/>
          <w:kern w:val="0"/>
          <w:szCs w:val="21"/>
          <w:lang w:val="zh-CN"/>
        </w:rPr>
      </w:pPr>
    </w:p>
    <w:p>
      <w:pPr>
        <w:snapToGrid w:val="0"/>
        <w:spacing w:line="288" w:lineRule="auto"/>
        <w:ind w:firstLine="422" w:firstLineChars="201"/>
        <w:rPr>
          <w:rFonts w:ascii="宋体" w:hAnsi="宋体" w:eastAsia="宋体" w:cs="仿宋_GB2312"/>
          <w:kern w:val="0"/>
          <w:szCs w:val="21"/>
          <w:lang w:val="zh-CN"/>
        </w:rPr>
      </w:pPr>
    </w:p>
    <w:p>
      <w:pPr>
        <w:snapToGrid w:val="0"/>
        <w:spacing w:line="288" w:lineRule="auto"/>
        <w:ind w:firstLine="424" w:firstLineChars="201"/>
        <w:rPr>
          <w:rFonts w:ascii="宋体" w:hAnsi="宋体" w:eastAsia="宋体" w:cs="仿宋_GB2312"/>
          <w:b/>
          <w:bCs/>
          <w:kern w:val="0"/>
          <w:szCs w:val="21"/>
          <w:lang w:val="zh-CN"/>
        </w:rPr>
      </w:pPr>
      <w:r>
        <w:rPr>
          <w:rFonts w:hint="eastAsia" w:ascii="宋体" w:hAnsi="宋体" w:eastAsia="宋体" w:cs="仿宋_GB2312"/>
          <w:b/>
          <w:bCs/>
          <w:kern w:val="0"/>
          <w:szCs w:val="21"/>
          <w:lang w:val="zh-CN"/>
        </w:rPr>
        <w:t>联合体成员名称</w:t>
      </w:r>
      <w:r>
        <w:rPr>
          <w:rFonts w:ascii="宋体" w:hAnsi="宋体" w:eastAsia="宋体" w:cs="仿宋_GB2312"/>
          <w:b/>
          <w:bCs/>
          <w:kern w:val="0"/>
          <w:szCs w:val="21"/>
          <w:lang w:val="zh-CN"/>
        </w:rPr>
        <w:t>(电子签名/公章)：</w:t>
      </w:r>
    </w:p>
    <w:p>
      <w:pPr>
        <w:snapToGrid w:val="0"/>
        <w:spacing w:line="288" w:lineRule="auto"/>
        <w:ind w:firstLine="424" w:firstLineChars="201"/>
        <w:rPr>
          <w:rFonts w:ascii="宋体" w:hAnsi="宋体" w:eastAsia="宋体" w:cs="仿宋_GB2312"/>
          <w:b/>
          <w:bCs/>
          <w:kern w:val="0"/>
          <w:szCs w:val="21"/>
          <w:lang w:val="zh-CN"/>
        </w:rPr>
      </w:pPr>
    </w:p>
    <w:p>
      <w:pPr>
        <w:snapToGrid w:val="0"/>
        <w:spacing w:line="288" w:lineRule="auto"/>
        <w:ind w:firstLine="424" w:firstLineChars="201"/>
        <w:rPr>
          <w:rFonts w:ascii="宋体" w:hAnsi="宋体" w:eastAsia="宋体" w:cs="Times New Roman"/>
          <w:b/>
          <w:bCs/>
          <w:szCs w:val="21"/>
        </w:rPr>
      </w:pPr>
    </w:p>
    <w:p>
      <w:pPr>
        <w:snapToGrid w:val="0"/>
        <w:spacing w:line="288" w:lineRule="auto"/>
        <w:ind w:firstLine="424" w:firstLineChars="201"/>
        <w:rPr>
          <w:rFonts w:ascii="宋体" w:hAnsi="宋体" w:eastAsia="宋体" w:cs="仿宋_GB2312"/>
          <w:b/>
          <w:bCs/>
          <w:kern w:val="0"/>
          <w:szCs w:val="21"/>
          <w:lang w:val="zh-CN"/>
        </w:rPr>
      </w:pPr>
      <w:r>
        <w:rPr>
          <w:rFonts w:ascii="宋体" w:hAnsi="宋体" w:eastAsia="宋体" w:cs="仿宋_GB2312"/>
          <w:b/>
          <w:bCs/>
          <w:kern w:val="0"/>
          <w:szCs w:val="21"/>
          <w:lang w:val="zh-CN"/>
        </w:rPr>
        <w:t>日期：  年  月   日</w:t>
      </w:r>
    </w:p>
    <w:p>
      <w:pPr>
        <w:widowControl/>
        <w:jc w:val="left"/>
        <w:rPr>
          <w:rFonts w:ascii="宋体" w:hAnsi="宋体" w:eastAsia="宋体" w:cs="仿宋_GB2312"/>
          <w:b/>
          <w:kern w:val="0"/>
          <w:szCs w:val="21"/>
        </w:rPr>
      </w:pPr>
      <w:r>
        <w:rPr>
          <w:rFonts w:ascii="宋体" w:hAnsi="宋体" w:eastAsia="宋体" w:cs="仿宋_GB2312"/>
          <w:b/>
          <w:kern w:val="0"/>
          <w:szCs w:val="21"/>
        </w:rPr>
        <w:br w:type="page"/>
      </w:r>
    </w:p>
    <w:p>
      <w:pPr>
        <w:snapToGrid w:val="0"/>
        <w:spacing w:line="288" w:lineRule="auto"/>
        <w:jc w:val="center"/>
        <w:outlineLvl w:val="2"/>
        <w:rPr>
          <w:rFonts w:ascii="宋体" w:hAnsi="宋体" w:eastAsia="宋体" w:cs="仿宋_GB2312"/>
          <w:b/>
          <w:kern w:val="0"/>
          <w:szCs w:val="21"/>
        </w:rPr>
      </w:pPr>
      <w:r>
        <w:rPr>
          <w:rFonts w:hint="eastAsia" w:ascii="宋体" w:hAnsi="宋体" w:eastAsia="宋体" w:cs="仿宋_GB2312"/>
          <w:b/>
          <w:kern w:val="0"/>
          <w:szCs w:val="21"/>
        </w:rPr>
        <w:t>附件3</w:t>
      </w:r>
      <w:r>
        <w:rPr>
          <w:rFonts w:ascii="宋体" w:hAnsi="宋体" w:eastAsia="宋体" w:cs="仿宋_GB2312"/>
          <w:b/>
          <w:kern w:val="0"/>
          <w:szCs w:val="21"/>
        </w:rPr>
        <w:t>：</w:t>
      </w:r>
      <w:r>
        <w:rPr>
          <w:rFonts w:hint="eastAsia" w:ascii="宋体" w:hAnsi="宋体" w:eastAsia="宋体" w:cs="仿宋_GB2312"/>
          <w:b/>
          <w:kern w:val="0"/>
          <w:szCs w:val="21"/>
        </w:rPr>
        <w:t>分包意向协议</w:t>
      </w:r>
    </w:p>
    <w:p>
      <w:pPr>
        <w:widowControl/>
        <w:snapToGrid w:val="0"/>
        <w:spacing w:line="288" w:lineRule="auto"/>
        <w:ind w:firstLine="422" w:firstLineChars="201"/>
        <w:jc w:val="left"/>
        <w:rPr>
          <w:rFonts w:ascii="宋体" w:hAnsi="宋体" w:eastAsia="宋体" w:cs="仿宋_GB2312"/>
          <w:szCs w:val="21"/>
        </w:rPr>
      </w:pPr>
      <w:r>
        <w:rPr>
          <w:rFonts w:hint="eastAsia" w:ascii="宋体" w:hAnsi="宋体" w:eastAsia="宋体" w:cs="仿宋_GB2312"/>
          <w:szCs w:val="21"/>
        </w:rPr>
        <w:t>（</w:t>
      </w:r>
      <w:r>
        <w:rPr>
          <w:rFonts w:hint="eastAsia" w:ascii="宋体" w:hAnsi="宋体" w:eastAsia="宋体" w:cs="仿宋_GB2312"/>
          <w:b/>
          <w:szCs w:val="21"/>
        </w:rPr>
        <w:t>中标后以分包方式履行合同的，提供分包意向协议；采购人不同意分包或者投标人中标后不以分包方式履行合同的，则不需要提供。</w:t>
      </w:r>
      <w:r>
        <w:rPr>
          <w:rFonts w:hint="eastAsia" w:ascii="宋体" w:hAnsi="宋体" w:eastAsia="宋体" w:cs="仿宋_GB2312"/>
          <w:szCs w:val="21"/>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若成为</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的中标供应商，将依法采取分包方式履行合同。</w:t>
      </w:r>
      <w:r>
        <w:rPr>
          <w:rFonts w:hint="eastAsia" w:ascii="宋体" w:hAnsi="宋体" w:eastAsia="宋体" w:cs="仿宋_GB2312"/>
          <w:kern w:val="0"/>
          <w:szCs w:val="21"/>
          <w:u w:val="single"/>
        </w:rPr>
        <w:t>（投标人名称）</w:t>
      </w:r>
      <w:r>
        <w:rPr>
          <w:rFonts w:hint="eastAsia" w:ascii="宋体" w:hAnsi="宋体" w:eastAsia="宋体" w:cs="仿宋_GB2312"/>
          <w:kern w:val="0"/>
          <w:szCs w:val="21"/>
        </w:rPr>
        <w:t>与</w:t>
      </w:r>
      <w:r>
        <w:rPr>
          <w:rFonts w:hint="eastAsia" w:ascii="宋体" w:hAnsi="宋体" w:eastAsia="宋体" w:cs="仿宋_GB2312"/>
          <w:kern w:val="0"/>
          <w:szCs w:val="21"/>
          <w:u w:val="single"/>
        </w:rPr>
        <w:t>（所有分包供应商名称）</w:t>
      </w:r>
      <w:r>
        <w:rPr>
          <w:rFonts w:hint="eastAsia" w:ascii="宋体" w:hAnsi="宋体" w:eastAsia="宋体" w:cs="仿宋_GB2312"/>
          <w:kern w:val="0"/>
          <w:szCs w:val="21"/>
        </w:rPr>
        <w:t>达成分包意向协议</w:t>
      </w:r>
      <w:r>
        <w:rPr>
          <w:rFonts w:hint="eastAsia" w:ascii="宋体" w:hAnsi="宋体" w:eastAsia="宋体" w:cs="仿宋_GB2312"/>
          <w:kern w:val="0"/>
          <w:szCs w:val="21"/>
          <w:lang w:val="zh-CN"/>
        </w:rPr>
        <w:t>。</w:t>
      </w:r>
      <w:r>
        <w:rPr>
          <w:rFonts w:ascii="宋体" w:hAnsi="宋体" w:eastAsia="宋体" w:cs="仿宋_GB2312"/>
          <w:kern w:val="0"/>
          <w:szCs w:val="21"/>
          <w:lang w:val="zh-CN"/>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一、分包标的及数量</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将</w:t>
      </w:r>
      <w:r>
        <w:rPr>
          <w:rFonts w:ascii="宋体" w:hAnsi="宋体" w:eastAsia="宋体" w:cs="Times New Roman"/>
          <w:szCs w:val="21"/>
          <w:u w:val="single"/>
        </w:rPr>
        <w:t xml:space="preserve">   XX工作内容   </w:t>
      </w:r>
      <w:r>
        <w:rPr>
          <w:rFonts w:hint="eastAsia" w:ascii="宋体" w:hAnsi="宋体" w:eastAsia="宋体" w:cs="Arial"/>
          <w:szCs w:val="21"/>
        </w:rPr>
        <w:t>分包给</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具备承</w:t>
      </w:r>
      <w:r>
        <w:rPr>
          <w:rFonts w:hint="eastAsia" w:ascii="宋体" w:hAnsi="宋体" w:eastAsia="宋体" w:cs="仿宋_GB2312"/>
          <w:kern w:val="0"/>
          <w:szCs w:val="21"/>
        </w:rPr>
        <w:t>担</w:t>
      </w:r>
      <w:r>
        <w:rPr>
          <w:rFonts w:ascii="宋体" w:hAnsi="宋体" w:eastAsia="宋体" w:cs="仿宋_GB2312"/>
          <w:kern w:val="0"/>
          <w:szCs w:val="21"/>
          <w:u w:val="single"/>
          <w:lang w:val="zh-CN"/>
        </w:rPr>
        <w:t>XX工作内容</w:t>
      </w:r>
      <w:r>
        <w:rPr>
          <w:rFonts w:hint="eastAsia" w:ascii="宋体" w:hAnsi="宋体" w:eastAsia="宋体" w:cs="仿宋_GB2312"/>
          <w:kern w:val="0"/>
          <w:szCs w:val="21"/>
          <w:lang w:val="zh-CN"/>
        </w:rPr>
        <w:t>相应资质条件且不得再次分包；</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二、分包工作履行期限、地点、方式</w:t>
      </w:r>
    </w:p>
    <w:p>
      <w:pPr>
        <w:snapToGrid w:val="0"/>
        <w:spacing w:line="288" w:lineRule="auto"/>
        <w:ind w:firstLine="422" w:firstLineChars="201"/>
        <w:rPr>
          <w:rFonts w:ascii="宋体" w:hAnsi="宋体" w:eastAsia="宋体" w:cs="Times New Roman"/>
          <w:szCs w:val="21"/>
          <w:u w:val="single"/>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三、质量</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四、价款或者报酬</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五、违约责任</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六、争议解决的办法</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七、其他</w:t>
      </w:r>
    </w:p>
    <w:p>
      <w:pPr>
        <w:snapToGrid w:val="0"/>
        <w:spacing w:line="288" w:lineRule="auto"/>
        <w:ind w:firstLine="422" w:firstLineChars="201"/>
        <w:rPr>
          <w:rFonts w:ascii="宋体" w:hAnsi="宋体" w:eastAsia="宋体" w:cs="仿宋_GB2312"/>
          <w:b/>
          <w:kern w:val="0"/>
          <w:szCs w:val="21"/>
          <w:lang w:val="zh-CN"/>
        </w:rPr>
      </w:pPr>
      <w:r>
        <w:rPr>
          <w:rFonts w:hint="eastAsia" w:ascii="宋体" w:hAnsi="宋体" w:eastAsia="宋体" w:cs="仿宋_GB2312"/>
          <w:kern w:val="0"/>
          <w:szCs w:val="21"/>
          <w:u w:val="single"/>
        </w:rPr>
        <w:t>（分包供应商名称）提供的货物全部由小微企业制造，</w:t>
      </w:r>
      <w:r>
        <w:rPr>
          <w:rFonts w:hint="eastAsia" w:ascii="宋体" w:hAnsi="宋体" w:eastAsia="宋体" w:cs="仿宋_GB2312"/>
          <w:kern w:val="0"/>
          <w:szCs w:val="21"/>
        </w:rPr>
        <w:t>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Times New Roman"/>
          <w:szCs w:val="21"/>
        </w:rPr>
        <w:t>。</w:t>
      </w:r>
      <w:r>
        <w:rPr>
          <w:rFonts w:hint="eastAsia" w:ascii="宋体" w:hAnsi="宋体" w:eastAsia="宋体" w:cs="仿宋_GB2312"/>
          <w:b/>
          <w:kern w:val="0"/>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的，对大中型企业的报价给予</w:t>
      </w:r>
      <w:r>
        <w:rPr>
          <w:rFonts w:ascii="宋体" w:hAnsi="宋体" w:eastAsia="宋体" w:cs="仿宋_GB2312"/>
          <w:b/>
          <w:kern w:val="0"/>
          <w:szCs w:val="21"/>
          <w:lang w:val="zh-CN"/>
        </w:rPr>
        <w:t>6%的扣除</w:t>
      </w:r>
      <w:r>
        <w:rPr>
          <w:rFonts w:hint="eastAsia" w:ascii="宋体" w:hAnsi="宋体" w:eastAsia="宋体" w:cs="仿宋_GB2312"/>
          <w:b/>
          <w:kern w:val="0"/>
          <w:szCs w:val="21"/>
          <w:lang w:val="zh-CN"/>
        </w:rPr>
        <w:t>）</w:t>
      </w:r>
    </w:p>
    <w:p>
      <w:pPr>
        <w:snapToGrid w:val="0"/>
        <w:spacing w:line="288" w:lineRule="auto"/>
        <w:rPr>
          <w:rFonts w:ascii="宋体" w:hAnsi="宋体" w:eastAsia="宋体" w:cs="仿宋_GB2312"/>
          <w:kern w:val="0"/>
          <w:szCs w:val="21"/>
          <w:lang w:val="zh-CN"/>
        </w:rPr>
      </w:pPr>
    </w:p>
    <w:p>
      <w:pPr>
        <w:snapToGrid w:val="0"/>
        <w:spacing w:line="288" w:lineRule="auto"/>
        <w:ind w:firstLine="422" w:firstLineChars="200"/>
        <w:rPr>
          <w:rFonts w:ascii="宋体" w:hAnsi="宋体" w:eastAsia="宋体" w:cs="仿宋_GB2312"/>
          <w:b/>
          <w:bCs/>
          <w:kern w:val="0"/>
          <w:szCs w:val="21"/>
          <w:lang w:val="zh-CN"/>
        </w:rPr>
      </w:pPr>
      <w:r>
        <w:rPr>
          <w:rFonts w:hint="eastAsia" w:ascii="宋体" w:hAnsi="宋体" w:eastAsia="宋体" w:cs="仿宋_GB2312"/>
          <w:b/>
          <w:bCs/>
          <w:kern w:val="0"/>
          <w:szCs w:val="21"/>
          <w:lang w:val="zh-CN"/>
        </w:rPr>
        <w:t>投标人名称（电子签名</w:t>
      </w:r>
      <w:r>
        <w:rPr>
          <w:rFonts w:ascii="宋体" w:hAnsi="宋体" w:eastAsia="宋体" w:cs="仿宋_GB2312"/>
          <w:b/>
          <w:bCs/>
          <w:kern w:val="0"/>
          <w:szCs w:val="21"/>
          <w:lang w:val="zh-CN"/>
        </w:rPr>
        <w:t>/公章）：</w:t>
      </w:r>
    </w:p>
    <w:p>
      <w:pPr>
        <w:snapToGrid w:val="0"/>
        <w:spacing w:line="288" w:lineRule="auto"/>
        <w:ind w:firstLine="424" w:firstLineChars="201"/>
        <w:rPr>
          <w:rFonts w:ascii="宋体" w:hAnsi="宋体" w:eastAsia="宋体" w:cs="仿宋_GB2312"/>
          <w:b/>
          <w:bCs/>
          <w:kern w:val="0"/>
          <w:szCs w:val="21"/>
          <w:lang w:val="zh-CN"/>
        </w:rPr>
      </w:pPr>
    </w:p>
    <w:p>
      <w:pPr>
        <w:snapToGrid w:val="0"/>
        <w:spacing w:line="288" w:lineRule="auto"/>
        <w:ind w:firstLine="424" w:firstLineChars="201"/>
        <w:rPr>
          <w:rFonts w:ascii="宋体" w:hAnsi="宋体" w:eastAsia="宋体" w:cs="仿宋_GB2312"/>
          <w:b/>
          <w:bCs/>
          <w:kern w:val="0"/>
          <w:szCs w:val="21"/>
          <w:lang w:val="zh-CN"/>
        </w:rPr>
      </w:pPr>
      <w:r>
        <w:rPr>
          <w:rFonts w:hint="eastAsia" w:ascii="宋体" w:hAnsi="宋体" w:eastAsia="宋体" w:cs="仿宋_GB2312"/>
          <w:b/>
          <w:bCs/>
          <w:kern w:val="0"/>
          <w:szCs w:val="21"/>
          <w:lang w:val="zh-CN"/>
        </w:rPr>
        <w:t>分包供应商名称（电子签名</w:t>
      </w:r>
      <w:r>
        <w:rPr>
          <w:rFonts w:ascii="宋体" w:hAnsi="宋体" w:eastAsia="宋体" w:cs="仿宋_GB2312"/>
          <w:b/>
          <w:bCs/>
          <w:kern w:val="0"/>
          <w:szCs w:val="21"/>
          <w:lang w:val="zh-CN"/>
        </w:rPr>
        <w:t>/公章）：</w:t>
      </w:r>
    </w:p>
    <w:p>
      <w:pPr>
        <w:snapToGrid w:val="0"/>
        <w:spacing w:line="288" w:lineRule="auto"/>
        <w:rPr>
          <w:rFonts w:ascii="宋体" w:hAnsi="宋体" w:eastAsia="宋体" w:cs="仿宋_GB2312"/>
          <w:b/>
          <w:bCs/>
          <w:kern w:val="0"/>
          <w:szCs w:val="21"/>
          <w:lang w:val="zh-CN"/>
        </w:rPr>
      </w:pPr>
    </w:p>
    <w:p>
      <w:pPr>
        <w:snapToGrid w:val="0"/>
        <w:spacing w:line="288" w:lineRule="auto"/>
        <w:ind w:firstLine="424" w:firstLineChars="201"/>
        <w:rPr>
          <w:rFonts w:ascii="宋体" w:hAnsi="宋体" w:eastAsia="宋体" w:cs="仿宋_GB2312"/>
          <w:b/>
          <w:bCs/>
          <w:kern w:val="0"/>
          <w:szCs w:val="21"/>
          <w:lang w:val="zh-CN"/>
        </w:rPr>
      </w:pPr>
      <w:r>
        <w:rPr>
          <w:rFonts w:ascii="宋体" w:hAnsi="宋体" w:eastAsia="宋体" w:cs="仿宋_GB2312"/>
          <w:b/>
          <w:bCs/>
          <w:kern w:val="0"/>
          <w:szCs w:val="21"/>
          <w:lang w:val="zh-CN"/>
        </w:rPr>
        <w:t>日期：  年  月   日</w:t>
      </w:r>
    </w:p>
    <w:p>
      <w:pPr>
        <w:rPr>
          <w:rFonts w:ascii="等线" w:hAnsi="等线" w:eastAsia="等线" w:cs="Times New Roman"/>
        </w:rPr>
      </w:pPr>
    </w:p>
    <w:p>
      <w:pPr>
        <w:adjustRightInd w:val="0"/>
        <w:snapToGrid w:val="0"/>
        <w:spacing w:line="288" w:lineRule="auto"/>
        <w:rPr>
          <w:rFonts w:ascii="宋体" w:hAnsi="宋体" w:eastAsia="宋体" w:cs="Times New Roman"/>
          <w:b/>
          <w:spacing w:val="-6"/>
          <w:szCs w:val="21"/>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apple-system">
    <w:altName w:val="Malgun Gothic Semiligh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A5E9"/>
    <w:multiLevelType w:val="singleLevel"/>
    <w:tmpl w:val="D960A5E9"/>
    <w:lvl w:ilvl="0" w:tentative="0">
      <w:start w:val="2"/>
      <w:numFmt w:val="decimal"/>
      <w:suff w:val="nothing"/>
      <w:lvlText w:val="%1）"/>
      <w:lvlJc w:val="left"/>
    </w:lvl>
  </w:abstractNum>
  <w:abstractNum w:abstractNumId="1">
    <w:nsid w:val="EEA9A2BB"/>
    <w:multiLevelType w:val="singleLevel"/>
    <w:tmpl w:val="EEA9A2BB"/>
    <w:lvl w:ilvl="0" w:tentative="0">
      <w:start w:val="1"/>
      <w:numFmt w:val="decimal"/>
      <w:suff w:val="nothing"/>
      <w:lvlText w:val="%1、"/>
      <w:lvlJc w:val="left"/>
    </w:lvl>
  </w:abstractNum>
  <w:abstractNum w:abstractNumId="2">
    <w:nsid w:val="FC94EC84"/>
    <w:multiLevelType w:val="singleLevel"/>
    <w:tmpl w:val="FC94EC84"/>
    <w:lvl w:ilvl="0" w:tentative="0">
      <w:start w:val="1"/>
      <w:numFmt w:val="decimal"/>
      <w:lvlText w:val="（%1）"/>
      <w:lvlJc w:val="left"/>
      <w:pPr>
        <w:ind w:left="0" w:firstLine="0"/>
      </w:pPr>
      <w:rPr>
        <w:rFonts w:hint="eastAsia"/>
      </w:rPr>
    </w:lvl>
  </w:abstractNum>
  <w:abstractNum w:abstractNumId="3">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6525E68"/>
    <w:multiLevelType w:val="multilevel"/>
    <w:tmpl w:val="26525E6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73C3C"/>
    <w:multiLevelType w:val="multilevel"/>
    <w:tmpl w:val="5A673C3C"/>
    <w:lvl w:ilvl="0" w:tentative="0">
      <w:start w:val="1"/>
      <w:numFmt w:val="decimal"/>
      <w:suff w:val="nothing"/>
      <w:lvlText w:val="%1."/>
      <w:lvlJc w:val="left"/>
      <w:pPr>
        <w:ind w:left="0" w:firstLine="454"/>
      </w:pPr>
      <w:rPr>
        <w:rFonts w:ascii="仿宋" w:hAnsi="仿宋" w:eastAsia="仿宋"/>
        <w:b w:val="0"/>
        <w:sz w:val="24"/>
        <w:szCs w:val="24"/>
      </w:rPr>
    </w:lvl>
    <w:lvl w:ilvl="1" w:tentative="0">
      <w:start w:val="1"/>
      <w:numFmt w:val="decimal"/>
      <w:suff w:val="nothing"/>
      <w:lvlText w:val="%2)"/>
      <w:lvlJc w:val="left"/>
      <w:pPr>
        <w:ind w:left="0" w:firstLine="42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B57A8E8"/>
    <w:multiLevelType w:val="singleLevel"/>
    <w:tmpl w:val="6B57A8E8"/>
    <w:lvl w:ilvl="0" w:tentative="0">
      <w:start w:val="1"/>
      <w:numFmt w:val="decimal"/>
      <w:lvlText w:val="%1."/>
      <w:lvlJc w:val="left"/>
      <w:pPr>
        <w:ind w:left="0" w:firstLine="0"/>
      </w:pPr>
      <w:rPr>
        <w:rFonts w:hint="default"/>
      </w:r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59CF"/>
    <w:rsid w:val="00016D69"/>
    <w:rsid w:val="00022A3E"/>
    <w:rsid w:val="00034595"/>
    <w:rsid w:val="00037CC3"/>
    <w:rsid w:val="00037F12"/>
    <w:rsid w:val="000404C3"/>
    <w:rsid w:val="00041035"/>
    <w:rsid w:val="0004184A"/>
    <w:rsid w:val="00042FA2"/>
    <w:rsid w:val="00043D3F"/>
    <w:rsid w:val="000448C5"/>
    <w:rsid w:val="0004610A"/>
    <w:rsid w:val="00046C0F"/>
    <w:rsid w:val="00047FBE"/>
    <w:rsid w:val="000505CC"/>
    <w:rsid w:val="000536E0"/>
    <w:rsid w:val="00057E8D"/>
    <w:rsid w:val="0006261A"/>
    <w:rsid w:val="00065AAC"/>
    <w:rsid w:val="000666CC"/>
    <w:rsid w:val="00066C2F"/>
    <w:rsid w:val="00067CDC"/>
    <w:rsid w:val="0007061E"/>
    <w:rsid w:val="00074377"/>
    <w:rsid w:val="000765FF"/>
    <w:rsid w:val="00076E4A"/>
    <w:rsid w:val="0007720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27B0"/>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C6DA4"/>
    <w:rsid w:val="000D0B38"/>
    <w:rsid w:val="000D107B"/>
    <w:rsid w:val="000D1F78"/>
    <w:rsid w:val="000D4121"/>
    <w:rsid w:val="000D763B"/>
    <w:rsid w:val="000E0B46"/>
    <w:rsid w:val="000E12A8"/>
    <w:rsid w:val="000E158D"/>
    <w:rsid w:val="000E3384"/>
    <w:rsid w:val="000E4D02"/>
    <w:rsid w:val="000E6420"/>
    <w:rsid w:val="000E7749"/>
    <w:rsid w:val="000F4562"/>
    <w:rsid w:val="00103101"/>
    <w:rsid w:val="00103FF5"/>
    <w:rsid w:val="001059FC"/>
    <w:rsid w:val="00105EC1"/>
    <w:rsid w:val="00106A4D"/>
    <w:rsid w:val="00111418"/>
    <w:rsid w:val="00111CAB"/>
    <w:rsid w:val="00111FD8"/>
    <w:rsid w:val="00112A2A"/>
    <w:rsid w:val="001137C8"/>
    <w:rsid w:val="00114CFA"/>
    <w:rsid w:val="00117EF1"/>
    <w:rsid w:val="001203D7"/>
    <w:rsid w:val="00120781"/>
    <w:rsid w:val="00121025"/>
    <w:rsid w:val="001273B1"/>
    <w:rsid w:val="00130294"/>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4730"/>
    <w:rsid w:val="00175B6C"/>
    <w:rsid w:val="0017684F"/>
    <w:rsid w:val="001768E5"/>
    <w:rsid w:val="0018079E"/>
    <w:rsid w:val="00182FEC"/>
    <w:rsid w:val="00183AD9"/>
    <w:rsid w:val="0018618D"/>
    <w:rsid w:val="001865B0"/>
    <w:rsid w:val="0018745D"/>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3FDB"/>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6685"/>
    <w:rsid w:val="00217ADB"/>
    <w:rsid w:val="00220252"/>
    <w:rsid w:val="00221BD1"/>
    <w:rsid w:val="00223595"/>
    <w:rsid w:val="00224BD6"/>
    <w:rsid w:val="002265A9"/>
    <w:rsid w:val="00230DA7"/>
    <w:rsid w:val="002336BD"/>
    <w:rsid w:val="00234CCB"/>
    <w:rsid w:val="00236327"/>
    <w:rsid w:val="00236937"/>
    <w:rsid w:val="00236EA3"/>
    <w:rsid w:val="002402D1"/>
    <w:rsid w:val="002435F2"/>
    <w:rsid w:val="00243D1E"/>
    <w:rsid w:val="002460A0"/>
    <w:rsid w:val="00251F2E"/>
    <w:rsid w:val="002529BD"/>
    <w:rsid w:val="0025372E"/>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3B26"/>
    <w:rsid w:val="00294AD4"/>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D52F4"/>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5E90"/>
    <w:rsid w:val="0030628A"/>
    <w:rsid w:val="00306563"/>
    <w:rsid w:val="00306AB0"/>
    <w:rsid w:val="00310A59"/>
    <w:rsid w:val="003117B9"/>
    <w:rsid w:val="00311A4B"/>
    <w:rsid w:val="00312BBF"/>
    <w:rsid w:val="00315B17"/>
    <w:rsid w:val="00316C36"/>
    <w:rsid w:val="00317A81"/>
    <w:rsid w:val="00320018"/>
    <w:rsid w:val="00320EE9"/>
    <w:rsid w:val="00321487"/>
    <w:rsid w:val="00327618"/>
    <w:rsid w:val="00330627"/>
    <w:rsid w:val="0033301D"/>
    <w:rsid w:val="00336F68"/>
    <w:rsid w:val="00336FDD"/>
    <w:rsid w:val="00341604"/>
    <w:rsid w:val="0034465D"/>
    <w:rsid w:val="003453A9"/>
    <w:rsid w:val="00347CBA"/>
    <w:rsid w:val="003502B4"/>
    <w:rsid w:val="00352E2F"/>
    <w:rsid w:val="0035407B"/>
    <w:rsid w:val="00355BB4"/>
    <w:rsid w:val="003560E6"/>
    <w:rsid w:val="0035700E"/>
    <w:rsid w:val="00357CF0"/>
    <w:rsid w:val="00363F3D"/>
    <w:rsid w:val="003665F6"/>
    <w:rsid w:val="0036728D"/>
    <w:rsid w:val="0037027D"/>
    <w:rsid w:val="00371425"/>
    <w:rsid w:val="00371E29"/>
    <w:rsid w:val="00373614"/>
    <w:rsid w:val="0037364D"/>
    <w:rsid w:val="0037508B"/>
    <w:rsid w:val="00377CB6"/>
    <w:rsid w:val="0038111B"/>
    <w:rsid w:val="00381C15"/>
    <w:rsid w:val="00382F41"/>
    <w:rsid w:val="0038494C"/>
    <w:rsid w:val="00385719"/>
    <w:rsid w:val="003868F7"/>
    <w:rsid w:val="00392BF4"/>
    <w:rsid w:val="003940F4"/>
    <w:rsid w:val="003959FD"/>
    <w:rsid w:val="00396056"/>
    <w:rsid w:val="003961ED"/>
    <w:rsid w:val="0039799B"/>
    <w:rsid w:val="003A0ADB"/>
    <w:rsid w:val="003A188A"/>
    <w:rsid w:val="003A1BED"/>
    <w:rsid w:val="003A1C79"/>
    <w:rsid w:val="003A2DAB"/>
    <w:rsid w:val="003A2EE0"/>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C7D"/>
    <w:rsid w:val="003D1ED8"/>
    <w:rsid w:val="003D26B2"/>
    <w:rsid w:val="003D327F"/>
    <w:rsid w:val="003D3515"/>
    <w:rsid w:val="003D4971"/>
    <w:rsid w:val="003D5E01"/>
    <w:rsid w:val="003D6E1E"/>
    <w:rsid w:val="003E0152"/>
    <w:rsid w:val="003E24B1"/>
    <w:rsid w:val="003E3756"/>
    <w:rsid w:val="003E60E1"/>
    <w:rsid w:val="003E77E4"/>
    <w:rsid w:val="003F42B3"/>
    <w:rsid w:val="003F52EA"/>
    <w:rsid w:val="00400160"/>
    <w:rsid w:val="004011A4"/>
    <w:rsid w:val="00401E65"/>
    <w:rsid w:val="00403B44"/>
    <w:rsid w:val="00403FBB"/>
    <w:rsid w:val="004047EA"/>
    <w:rsid w:val="00405332"/>
    <w:rsid w:val="0041002E"/>
    <w:rsid w:val="00413B01"/>
    <w:rsid w:val="0041400B"/>
    <w:rsid w:val="004142D4"/>
    <w:rsid w:val="00416A3D"/>
    <w:rsid w:val="00417159"/>
    <w:rsid w:val="004173F4"/>
    <w:rsid w:val="00417F83"/>
    <w:rsid w:val="00420BC7"/>
    <w:rsid w:val="00421288"/>
    <w:rsid w:val="004237F8"/>
    <w:rsid w:val="00426923"/>
    <w:rsid w:val="004303C0"/>
    <w:rsid w:val="0043170C"/>
    <w:rsid w:val="004327AE"/>
    <w:rsid w:val="00433671"/>
    <w:rsid w:val="00435409"/>
    <w:rsid w:val="0043729A"/>
    <w:rsid w:val="004405C0"/>
    <w:rsid w:val="004430E8"/>
    <w:rsid w:val="0044335C"/>
    <w:rsid w:val="00445D75"/>
    <w:rsid w:val="0045480E"/>
    <w:rsid w:val="00456743"/>
    <w:rsid w:val="00456DA5"/>
    <w:rsid w:val="00457EA2"/>
    <w:rsid w:val="004600CF"/>
    <w:rsid w:val="00460DBC"/>
    <w:rsid w:val="00461FD3"/>
    <w:rsid w:val="00462180"/>
    <w:rsid w:val="004626CF"/>
    <w:rsid w:val="00463637"/>
    <w:rsid w:val="00463860"/>
    <w:rsid w:val="00463AF9"/>
    <w:rsid w:val="004641A7"/>
    <w:rsid w:val="004644FC"/>
    <w:rsid w:val="00464B58"/>
    <w:rsid w:val="00464D58"/>
    <w:rsid w:val="004663D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559"/>
    <w:rsid w:val="004E373B"/>
    <w:rsid w:val="004E40A7"/>
    <w:rsid w:val="004E764E"/>
    <w:rsid w:val="004E7CB8"/>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20566"/>
    <w:rsid w:val="00520844"/>
    <w:rsid w:val="00520CCA"/>
    <w:rsid w:val="0052332C"/>
    <w:rsid w:val="005238C8"/>
    <w:rsid w:val="0052419B"/>
    <w:rsid w:val="00525513"/>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3A56"/>
    <w:rsid w:val="00594309"/>
    <w:rsid w:val="0059505F"/>
    <w:rsid w:val="00595A42"/>
    <w:rsid w:val="00597EA9"/>
    <w:rsid w:val="005A026D"/>
    <w:rsid w:val="005A2031"/>
    <w:rsid w:val="005A27BF"/>
    <w:rsid w:val="005A603C"/>
    <w:rsid w:val="005A6A8A"/>
    <w:rsid w:val="005A6C9A"/>
    <w:rsid w:val="005B09E2"/>
    <w:rsid w:val="005B2265"/>
    <w:rsid w:val="005B7D64"/>
    <w:rsid w:val="005C1B0A"/>
    <w:rsid w:val="005C25EA"/>
    <w:rsid w:val="005C26DA"/>
    <w:rsid w:val="005C7701"/>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2E5E"/>
    <w:rsid w:val="0060397B"/>
    <w:rsid w:val="006070EC"/>
    <w:rsid w:val="006072E8"/>
    <w:rsid w:val="00611AFB"/>
    <w:rsid w:val="006135DB"/>
    <w:rsid w:val="006143BF"/>
    <w:rsid w:val="006153AB"/>
    <w:rsid w:val="006175EF"/>
    <w:rsid w:val="006252C4"/>
    <w:rsid w:val="00627588"/>
    <w:rsid w:val="006279EA"/>
    <w:rsid w:val="006314E7"/>
    <w:rsid w:val="0063174D"/>
    <w:rsid w:val="00634527"/>
    <w:rsid w:val="00635BD5"/>
    <w:rsid w:val="00640CB4"/>
    <w:rsid w:val="00641772"/>
    <w:rsid w:val="00642A44"/>
    <w:rsid w:val="00644E31"/>
    <w:rsid w:val="00645B02"/>
    <w:rsid w:val="00651C08"/>
    <w:rsid w:val="00653A68"/>
    <w:rsid w:val="00657DC0"/>
    <w:rsid w:val="0066028D"/>
    <w:rsid w:val="00660BB7"/>
    <w:rsid w:val="00661F9F"/>
    <w:rsid w:val="00664079"/>
    <w:rsid w:val="006642C4"/>
    <w:rsid w:val="006643A4"/>
    <w:rsid w:val="00664DAA"/>
    <w:rsid w:val="00664F3B"/>
    <w:rsid w:val="00670120"/>
    <w:rsid w:val="006713B5"/>
    <w:rsid w:val="00671E8A"/>
    <w:rsid w:val="00672FEA"/>
    <w:rsid w:val="00674C38"/>
    <w:rsid w:val="00675E96"/>
    <w:rsid w:val="006763DA"/>
    <w:rsid w:val="006814CE"/>
    <w:rsid w:val="00681FEB"/>
    <w:rsid w:val="006823E7"/>
    <w:rsid w:val="00682703"/>
    <w:rsid w:val="0068459B"/>
    <w:rsid w:val="00685148"/>
    <w:rsid w:val="00685A78"/>
    <w:rsid w:val="006900EA"/>
    <w:rsid w:val="0069103C"/>
    <w:rsid w:val="00691AD4"/>
    <w:rsid w:val="0069264D"/>
    <w:rsid w:val="00693005"/>
    <w:rsid w:val="00693820"/>
    <w:rsid w:val="00696E42"/>
    <w:rsid w:val="00697054"/>
    <w:rsid w:val="00697CA8"/>
    <w:rsid w:val="00697FF9"/>
    <w:rsid w:val="006A2094"/>
    <w:rsid w:val="006A3042"/>
    <w:rsid w:val="006A43F9"/>
    <w:rsid w:val="006A4806"/>
    <w:rsid w:val="006A4E30"/>
    <w:rsid w:val="006A6A28"/>
    <w:rsid w:val="006B4735"/>
    <w:rsid w:val="006B59F9"/>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1C1"/>
    <w:rsid w:val="006F34B7"/>
    <w:rsid w:val="006F4883"/>
    <w:rsid w:val="006F4C49"/>
    <w:rsid w:val="006F5738"/>
    <w:rsid w:val="006F6B94"/>
    <w:rsid w:val="00700424"/>
    <w:rsid w:val="00701FAE"/>
    <w:rsid w:val="00702E4C"/>
    <w:rsid w:val="00710D17"/>
    <w:rsid w:val="00710E91"/>
    <w:rsid w:val="0071276D"/>
    <w:rsid w:val="00712B38"/>
    <w:rsid w:val="00715A7A"/>
    <w:rsid w:val="00716277"/>
    <w:rsid w:val="007164C7"/>
    <w:rsid w:val="0071668C"/>
    <w:rsid w:val="00716C53"/>
    <w:rsid w:val="0071784C"/>
    <w:rsid w:val="00722B86"/>
    <w:rsid w:val="00725627"/>
    <w:rsid w:val="007258CF"/>
    <w:rsid w:val="00726EB1"/>
    <w:rsid w:val="00727B6C"/>
    <w:rsid w:val="00732E62"/>
    <w:rsid w:val="00734629"/>
    <w:rsid w:val="00734FD7"/>
    <w:rsid w:val="0073563D"/>
    <w:rsid w:val="007359D0"/>
    <w:rsid w:val="00735C25"/>
    <w:rsid w:val="0073691D"/>
    <w:rsid w:val="00737B87"/>
    <w:rsid w:val="00742745"/>
    <w:rsid w:val="007433C8"/>
    <w:rsid w:val="00743455"/>
    <w:rsid w:val="0074775E"/>
    <w:rsid w:val="00752A0E"/>
    <w:rsid w:val="00753F5C"/>
    <w:rsid w:val="00756626"/>
    <w:rsid w:val="007572BE"/>
    <w:rsid w:val="00763093"/>
    <w:rsid w:val="00764B19"/>
    <w:rsid w:val="00765853"/>
    <w:rsid w:val="0076760A"/>
    <w:rsid w:val="007709F6"/>
    <w:rsid w:val="00773C5B"/>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23D"/>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9A"/>
    <w:rsid w:val="008331E4"/>
    <w:rsid w:val="00833B3B"/>
    <w:rsid w:val="00834263"/>
    <w:rsid w:val="0083518C"/>
    <w:rsid w:val="00835258"/>
    <w:rsid w:val="00836C7B"/>
    <w:rsid w:val="00837077"/>
    <w:rsid w:val="00837A11"/>
    <w:rsid w:val="008400F7"/>
    <w:rsid w:val="008416C2"/>
    <w:rsid w:val="00843CE6"/>
    <w:rsid w:val="00844B85"/>
    <w:rsid w:val="00845785"/>
    <w:rsid w:val="0084594D"/>
    <w:rsid w:val="0084629B"/>
    <w:rsid w:val="008470A5"/>
    <w:rsid w:val="008524BA"/>
    <w:rsid w:val="00854FBA"/>
    <w:rsid w:val="00857757"/>
    <w:rsid w:val="00860FD0"/>
    <w:rsid w:val="008629F4"/>
    <w:rsid w:val="00863A5B"/>
    <w:rsid w:val="0087038D"/>
    <w:rsid w:val="00870CE8"/>
    <w:rsid w:val="008800E3"/>
    <w:rsid w:val="008807C0"/>
    <w:rsid w:val="00883EAA"/>
    <w:rsid w:val="008851A9"/>
    <w:rsid w:val="00887F0C"/>
    <w:rsid w:val="00893056"/>
    <w:rsid w:val="00893A32"/>
    <w:rsid w:val="00894B74"/>
    <w:rsid w:val="008A1A9C"/>
    <w:rsid w:val="008A541E"/>
    <w:rsid w:val="008A54F8"/>
    <w:rsid w:val="008B0ED1"/>
    <w:rsid w:val="008B2C2E"/>
    <w:rsid w:val="008B3188"/>
    <w:rsid w:val="008B336F"/>
    <w:rsid w:val="008B56D2"/>
    <w:rsid w:val="008B6481"/>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34D7"/>
    <w:rsid w:val="0090469F"/>
    <w:rsid w:val="0090555B"/>
    <w:rsid w:val="009113FC"/>
    <w:rsid w:val="00911B77"/>
    <w:rsid w:val="00912B21"/>
    <w:rsid w:val="0091365F"/>
    <w:rsid w:val="00917842"/>
    <w:rsid w:val="009207E0"/>
    <w:rsid w:val="00921DF6"/>
    <w:rsid w:val="00921E2E"/>
    <w:rsid w:val="00924893"/>
    <w:rsid w:val="00926422"/>
    <w:rsid w:val="009302F3"/>
    <w:rsid w:val="00934006"/>
    <w:rsid w:val="009369AF"/>
    <w:rsid w:val="00937328"/>
    <w:rsid w:val="0093779E"/>
    <w:rsid w:val="00940228"/>
    <w:rsid w:val="00945580"/>
    <w:rsid w:val="009461B5"/>
    <w:rsid w:val="00950D6E"/>
    <w:rsid w:val="0095279E"/>
    <w:rsid w:val="009548AD"/>
    <w:rsid w:val="00956637"/>
    <w:rsid w:val="0095717F"/>
    <w:rsid w:val="0096020D"/>
    <w:rsid w:val="009652E1"/>
    <w:rsid w:val="009700EA"/>
    <w:rsid w:val="00973324"/>
    <w:rsid w:val="00975C50"/>
    <w:rsid w:val="00976106"/>
    <w:rsid w:val="009816FF"/>
    <w:rsid w:val="009837EC"/>
    <w:rsid w:val="009845F3"/>
    <w:rsid w:val="00987BAC"/>
    <w:rsid w:val="00990633"/>
    <w:rsid w:val="00991551"/>
    <w:rsid w:val="00994B9D"/>
    <w:rsid w:val="009A2069"/>
    <w:rsid w:val="009A24DD"/>
    <w:rsid w:val="009A506D"/>
    <w:rsid w:val="009A55BF"/>
    <w:rsid w:val="009A73F9"/>
    <w:rsid w:val="009B0065"/>
    <w:rsid w:val="009B2CDC"/>
    <w:rsid w:val="009B4623"/>
    <w:rsid w:val="009B4FED"/>
    <w:rsid w:val="009B68FA"/>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E40"/>
    <w:rsid w:val="00A01CA9"/>
    <w:rsid w:val="00A02B70"/>
    <w:rsid w:val="00A02EC0"/>
    <w:rsid w:val="00A0310D"/>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38E"/>
    <w:rsid w:val="00A37F7F"/>
    <w:rsid w:val="00A41840"/>
    <w:rsid w:val="00A436D8"/>
    <w:rsid w:val="00A44432"/>
    <w:rsid w:val="00A45BBE"/>
    <w:rsid w:val="00A500FC"/>
    <w:rsid w:val="00A503AE"/>
    <w:rsid w:val="00A50DF7"/>
    <w:rsid w:val="00A5356D"/>
    <w:rsid w:val="00A56E2F"/>
    <w:rsid w:val="00A616FB"/>
    <w:rsid w:val="00A62074"/>
    <w:rsid w:val="00A626B0"/>
    <w:rsid w:val="00A63A9C"/>
    <w:rsid w:val="00A63F72"/>
    <w:rsid w:val="00A65694"/>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2BC9"/>
    <w:rsid w:val="00AB538C"/>
    <w:rsid w:val="00AB6351"/>
    <w:rsid w:val="00AC088E"/>
    <w:rsid w:val="00AC0C26"/>
    <w:rsid w:val="00AC2484"/>
    <w:rsid w:val="00AC2AE1"/>
    <w:rsid w:val="00AC543D"/>
    <w:rsid w:val="00AC729C"/>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E6645"/>
    <w:rsid w:val="00AF02D2"/>
    <w:rsid w:val="00AF0A8C"/>
    <w:rsid w:val="00AF0D11"/>
    <w:rsid w:val="00AF2EB1"/>
    <w:rsid w:val="00AF4159"/>
    <w:rsid w:val="00AF47F0"/>
    <w:rsid w:val="00AF4C17"/>
    <w:rsid w:val="00AF57C7"/>
    <w:rsid w:val="00AF7D17"/>
    <w:rsid w:val="00AF7E39"/>
    <w:rsid w:val="00B016AA"/>
    <w:rsid w:val="00B02CEA"/>
    <w:rsid w:val="00B03E42"/>
    <w:rsid w:val="00B03F6E"/>
    <w:rsid w:val="00B11414"/>
    <w:rsid w:val="00B13E7E"/>
    <w:rsid w:val="00B201E6"/>
    <w:rsid w:val="00B2224D"/>
    <w:rsid w:val="00B228EA"/>
    <w:rsid w:val="00B26485"/>
    <w:rsid w:val="00B27103"/>
    <w:rsid w:val="00B27134"/>
    <w:rsid w:val="00B27466"/>
    <w:rsid w:val="00B31493"/>
    <w:rsid w:val="00B3468F"/>
    <w:rsid w:val="00B408F4"/>
    <w:rsid w:val="00B41A65"/>
    <w:rsid w:val="00B44146"/>
    <w:rsid w:val="00B445A8"/>
    <w:rsid w:val="00B5172B"/>
    <w:rsid w:val="00B5208F"/>
    <w:rsid w:val="00B5382A"/>
    <w:rsid w:val="00B538AE"/>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58A"/>
    <w:rsid w:val="00B83888"/>
    <w:rsid w:val="00B8482A"/>
    <w:rsid w:val="00B852B1"/>
    <w:rsid w:val="00B85628"/>
    <w:rsid w:val="00B878AA"/>
    <w:rsid w:val="00B90814"/>
    <w:rsid w:val="00B90B33"/>
    <w:rsid w:val="00B91B56"/>
    <w:rsid w:val="00B94AC5"/>
    <w:rsid w:val="00B962D4"/>
    <w:rsid w:val="00B96B37"/>
    <w:rsid w:val="00B97D38"/>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6BE6"/>
    <w:rsid w:val="00BD7446"/>
    <w:rsid w:val="00BE0F12"/>
    <w:rsid w:val="00BE1633"/>
    <w:rsid w:val="00BE1EA8"/>
    <w:rsid w:val="00BE21D5"/>
    <w:rsid w:val="00BE2488"/>
    <w:rsid w:val="00BE2B41"/>
    <w:rsid w:val="00BE5332"/>
    <w:rsid w:val="00BE7F67"/>
    <w:rsid w:val="00BF3D5C"/>
    <w:rsid w:val="00BF4A55"/>
    <w:rsid w:val="00C00063"/>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5A83"/>
    <w:rsid w:val="00C266F1"/>
    <w:rsid w:val="00C270E3"/>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475"/>
    <w:rsid w:val="00C5397C"/>
    <w:rsid w:val="00C57474"/>
    <w:rsid w:val="00C6026E"/>
    <w:rsid w:val="00C61007"/>
    <w:rsid w:val="00C615D4"/>
    <w:rsid w:val="00C61726"/>
    <w:rsid w:val="00C6404D"/>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51D1"/>
    <w:rsid w:val="00C96C41"/>
    <w:rsid w:val="00C97128"/>
    <w:rsid w:val="00C97FEA"/>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0FC"/>
    <w:rsid w:val="00CE6FB6"/>
    <w:rsid w:val="00CE7AD9"/>
    <w:rsid w:val="00CF32A8"/>
    <w:rsid w:val="00CF3576"/>
    <w:rsid w:val="00CF4740"/>
    <w:rsid w:val="00CF4781"/>
    <w:rsid w:val="00CF4FAD"/>
    <w:rsid w:val="00CF67DE"/>
    <w:rsid w:val="00CF6826"/>
    <w:rsid w:val="00CF7A2E"/>
    <w:rsid w:val="00D00847"/>
    <w:rsid w:val="00D02590"/>
    <w:rsid w:val="00D03363"/>
    <w:rsid w:val="00D04AA5"/>
    <w:rsid w:val="00D1199A"/>
    <w:rsid w:val="00D14CB3"/>
    <w:rsid w:val="00D20C5C"/>
    <w:rsid w:val="00D23BB6"/>
    <w:rsid w:val="00D24377"/>
    <w:rsid w:val="00D2442F"/>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1D3"/>
    <w:rsid w:val="00D66FB7"/>
    <w:rsid w:val="00D71592"/>
    <w:rsid w:val="00D72413"/>
    <w:rsid w:val="00D7265F"/>
    <w:rsid w:val="00D737DF"/>
    <w:rsid w:val="00D7688C"/>
    <w:rsid w:val="00D769DE"/>
    <w:rsid w:val="00D76D20"/>
    <w:rsid w:val="00D81C37"/>
    <w:rsid w:val="00D82CD2"/>
    <w:rsid w:val="00D867C7"/>
    <w:rsid w:val="00D90FDA"/>
    <w:rsid w:val="00D938B2"/>
    <w:rsid w:val="00D944DF"/>
    <w:rsid w:val="00DA023F"/>
    <w:rsid w:val="00DA249D"/>
    <w:rsid w:val="00DA56FA"/>
    <w:rsid w:val="00DA62C7"/>
    <w:rsid w:val="00DA739D"/>
    <w:rsid w:val="00DB0BBB"/>
    <w:rsid w:val="00DB1340"/>
    <w:rsid w:val="00DB18EF"/>
    <w:rsid w:val="00DB23D8"/>
    <w:rsid w:val="00DB3FB2"/>
    <w:rsid w:val="00DB4B8D"/>
    <w:rsid w:val="00DB52B1"/>
    <w:rsid w:val="00DB56B5"/>
    <w:rsid w:val="00DB696D"/>
    <w:rsid w:val="00DB7068"/>
    <w:rsid w:val="00DC3929"/>
    <w:rsid w:val="00DC4D1B"/>
    <w:rsid w:val="00DC4D9B"/>
    <w:rsid w:val="00DC5596"/>
    <w:rsid w:val="00DD013F"/>
    <w:rsid w:val="00DD0A11"/>
    <w:rsid w:val="00DD17D3"/>
    <w:rsid w:val="00DD3FB1"/>
    <w:rsid w:val="00DD4E42"/>
    <w:rsid w:val="00DD5814"/>
    <w:rsid w:val="00DD59F2"/>
    <w:rsid w:val="00DD6C53"/>
    <w:rsid w:val="00DD7D23"/>
    <w:rsid w:val="00DE123F"/>
    <w:rsid w:val="00DE2C67"/>
    <w:rsid w:val="00DE45BC"/>
    <w:rsid w:val="00DE5638"/>
    <w:rsid w:val="00DE7182"/>
    <w:rsid w:val="00DE7A6F"/>
    <w:rsid w:val="00DF02C6"/>
    <w:rsid w:val="00DF11F5"/>
    <w:rsid w:val="00DF26D8"/>
    <w:rsid w:val="00DF2F3D"/>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07F24"/>
    <w:rsid w:val="00E12785"/>
    <w:rsid w:val="00E1306D"/>
    <w:rsid w:val="00E136E8"/>
    <w:rsid w:val="00E14C82"/>
    <w:rsid w:val="00E151D8"/>
    <w:rsid w:val="00E15522"/>
    <w:rsid w:val="00E159C7"/>
    <w:rsid w:val="00E1752B"/>
    <w:rsid w:val="00E20B91"/>
    <w:rsid w:val="00E213AB"/>
    <w:rsid w:val="00E215AB"/>
    <w:rsid w:val="00E22BDB"/>
    <w:rsid w:val="00E261F0"/>
    <w:rsid w:val="00E263BE"/>
    <w:rsid w:val="00E3394F"/>
    <w:rsid w:val="00E3640D"/>
    <w:rsid w:val="00E370BD"/>
    <w:rsid w:val="00E379E2"/>
    <w:rsid w:val="00E402DD"/>
    <w:rsid w:val="00E4041E"/>
    <w:rsid w:val="00E40DCC"/>
    <w:rsid w:val="00E43AF2"/>
    <w:rsid w:val="00E43B06"/>
    <w:rsid w:val="00E45A9D"/>
    <w:rsid w:val="00E46D21"/>
    <w:rsid w:val="00E507E2"/>
    <w:rsid w:val="00E51D4F"/>
    <w:rsid w:val="00E55076"/>
    <w:rsid w:val="00E5522B"/>
    <w:rsid w:val="00E554E7"/>
    <w:rsid w:val="00E620E5"/>
    <w:rsid w:val="00E62869"/>
    <w:rsid w:val="00E63216"/>
    <w:rsid w:val="00E70B13"/>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58C7"/>
    <w:rsid w:val="00E96BF3"/>
    <w:rsid w:val="00E96EDC"/>
    <w:rsid w:val="00EA0C3B"/>
    <w:rsid w:val="00EA1755"/>
    <w:rsid w:val="00EA18DE"/>
    <w:rsid w:val="00EA4F01"/>
    <w:rsid w:val="00EA4FFE"/>
    <w:rsid w:val="00EA6C57"/>
    <w:rsid w:val="00EB0A8D"/>
    <w:rsid w:val="00EB2CBD"/>
    <w:rsid w:val="00EB32D8"/>
    <w:rsid w:val="00EB7AB1"/>
    <w:rsid w:val="00EC0958"/>
    <w:rsid w:val="00EC2397"/>
    <w:rsid w:val="00EC45E5"/>
    <w:rsid w:val="00EC4F83"/>
    <w:rsid w:val="00ED0D9B"/>
    <w:rsid w:val="00ED15BD"/>
    <w:rsid w:val="00ED1947"/>
    <w:rsid w:val="00ED1C7D"/>
    <w:rsid w:val="00ED22B7"/>
    <w:rsid w:val="00ED27A0"/>
    <w:rsid w:val="00ED2808"/>
    <w:rsid w:val="00ED3396"/>
    <w:rsid w:val="00ED487B"/>
    <w:rsid w:val="00ED558D"/>
    <w:rsid w:val="00EE04AC"/>
    <w:rsid w:val="00EE0F77"/>
    <w:rsid w:val="00EE20BA"/>
    <w:rsid w:val="00EE2D56"/>
    <w:rsid w:val="00EE2E85"/>
    <w:rsid w:val="00EE370B"/>
    <w:rsid w:val="00EE3A4F"/>
    <w:rsid w:val="00EE422B"/>
    <w:rsid w:val="00EE6014"/>
    <w:rsid w:val="00EE69E7"/>
    <w:rsid w:val="00EF16BA"/>
    <w:rsid w:val="00EF2298"/>
    <w:rsid w:val="00EF23EC"/>
    <w:rsid w:val="00EF36F9"/>
    <w:rsid w:val="00EF4317"/>
    <w:rsid w:val="00EF50C5"/>
    <w:rsid w:val="00EF560F"/>
    <w:rsid w:val="00F0522D"/>
    <w:rsid w:val="00F06A00"/>
    <w:rsid w:val="00F06AEE"/>
    <w:rsid w:val="00F10C79"/>
    <w:rsid w:val="00F115DC"/>
    <w:rsid w:val="00F13AE7"/>
    <w:rsid w:val="00F1422F"/>
    <w:rsid w:val="00F1454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1B"/>
    <w:rsid w:val="00F33F8B"/>
    <w:rsid w:val="00F343CD"/>
    <w:rsid w:val="00F3563B"/>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144"/>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0EB3"/>
    <w:rsid w:val="00FC3127"/>
    <w:rsid w:val="00FC59A5"/>
    <w:rsid w:val="00FD1F23"/>
    <w:rsid w:val="00FD3E41"/>
    <w:rsid w:val="00FD4001"/>
    <w:rsid w:val="00FD4A9E"/>
    <w:rsid w:val="00FD55B1"/>
    <w:rsid w:val="00FD6717"/>
    <w:rsid w:val="00FE0D9E"/>
    <w:rsid w:val="00FE1EE7"/>
    <w:rsid w:val="00FE5A7E"/>
    <w:rsid w:val="00FF3198"/>
    <w:rsid w:val="00FF39B6"/>
    <w:rsid w:val="00FF5A34"/>
    <w:rsid w:val="00FF6F04"/>
    <w:rsid w:val="010033FE"/>
    <w:rsid w:val="01285229"/>
    <w:rsid w:val="01F81427"/>
    <w:rsid w:val="03F93561"/>
    <w:rsid w:val="05D34727"/>
    <w:rsid w:val="08931933"/>
    <w:rsid w:val="0B4A1776"/>
    <w:rsid w:val="0C786503"/>
    <w:rsid w:val="0D1A04C9"/>
    <w:rsid w:val="10757130"/>
    <w:rsid w:val="112B34AD"/>
    <w:rsid w:val="11FF5827"/>
    <w:rsid w:val="18090C43"/>
    <w:rsid w:val="18314B50"/>
    <w:rsid w:val="18FB5F15"/>
    <w:rsid w:val="1B321622"/>
    <w:rsid w:val="1B8B42C2"/>
    <w:rsid w:val="1F9C38D3"/>
    <w:rsid w:val="20767551"/>
    <w:rsid w:val="21DB64E2"/>
    <w:rsid w:val="221C4C30"/>
    <w:rsid w:val="22A70B6C"/>
    <w:rsid w:val="23C14303"/>
    <w:rsid w:val="23FF4622"/>
    <w:rsid w:val="27432BC1"/>
    <w:rsid w:val="27F0275A"/>
    <w:rsid w:val="28580092"/>
    <w:rsid w:val="28BC23D4"/>
    <w:rsid w:val="2AA10ED5"/>
    <w:rsid w:val="2ADA0518"/>
    <w:rsid w:val="2C921974"/>
    <w:rsid w:val="2D01636F"/>
    <w:rsid w:val="2D546C0A"/>
    <w:rsid w:val="2DBE14C9"/>
    <w:rsid w:val="2F6A64D8"/>
    <w:rsid w:val="30616EA9"/>
    <w:rsid w:val="31A44D82"/>
    <w:rsid w:val="32104B39"/>
    <w:rsid w:val="32BE120D"/>
    <w:rsid w:val="32F219FF"/>
    <w:rsid w:val="330C0EF9"/>
    <w:rsid w:val="33506DE6"/>
    <w:rsid w:val="35A54CED"/>
    <w:rsid w:val="37534CA7"/>
    <w:rsid w:val="37D824F1"/>
    <w:rsid w:val="3B0C4DFA"/>
    <w:rsid w:val="3C4D26C6"/>
    <w:rsid w:val="3D044EFC"/>
    <w:rsid w:val="3E6946AD"/>
    <w:rsid w:val="3EB60CB3"/>
    <w:rsid w:val="3EC436F9"/>
    <w:rsid w:val="3F740895"/>
    <w:rsid w:val="3FB93DC6"/>
    <w:rsid w:val="402A691C"/>
    <w:rsid w:val="409F6B0A"/>
    <w:rsid w:val="422E66F3"/>
    <w:rsid w:val="4275164D"/>
    <w:rsid w:val="430A3262"/>
    <w:rsid w:val="43F14D5A"/>
    <w:rsid w:val="44476C9E"/>
    <w:rsid w:val="45FB77CB"/>
    <w:rsid w:val="46A824B9"/>
    <w:rsid w:val="46BB170B"/>
    <w:rsid w:val="47510906"/>
    <w:rsid w:val="495D70F7"/>
    <w:rsid w:val="4B4D4976"/>
    <w:rsid w:val="4B7D5F80"/>
    <w:rsid w:val="4BF40741"/>
    <w:rsid w:val="4C5E019B"/>
    <w:rsid w:val="4F64249F"/>
    <w:rsid w:val="4F6E1200"/>
    <w:rsid w:val="4FEE189E"/>
    <w:rsid w:val="508C6314"/>
    <w:rsid w:val="53F038EA"/>
    <w:rsid w:val="58095D77"/>
    <w:rsid w:val="58FC0447"/>
    <w:rsid w:val="59BA69E3"/>
    <w:rsid w:val="5A3A7B63"/>
    <w:rsid w:val="5A661DF4"/>
    <w:rsid w:val="5ACF0178"/>
    <w:rsid w:val="5C2B7DD8"/>
    <w:rsid w:val="5C3E17F9"/>
    <w:rsid w:val="5D3A6920"/>
    <w:rsid w:val="5D8135CC"/>
    <w:rsid w:val="5F2F4E3C"/>
    <w:rsid w:val="600446EC"/>
    <w:rsid w:val="600D2EE6"/>
    <w:rsid w:val="621760F6"/>
    <w:rsid w:val="62246B60"/>
    <w:rsid w:val="644F1ACD"/>
    <w:rsid w:val="657260F5"/>
    <w:rsid w:val="67FF1998"/>
    <w:rsid w:val="680D1D99"/>
    <w:rsid w:val="69431270"/>
    <w:rsid w:val="6A7F4F75"/>
    <w:rsid w:val="6ACA16F9"/>
    <w:rsid w:val="6B16774A"/>
    <w:rsid w:val="6E6722D6"/>
    <w:rsid w:val="6ECE2681"/>
    <w:rsid w:val="7230261F"/>
    <w:rsid w:val="72340F9C"/>
    <w:rsid w:val="774152C9"/>
    <w:rsid w:val="793070F8"/>
    <w:rsid w:val="79D825C1"/>
    <w:rsid w:val="7B5D131E"/>
    <w:rsid w:val="7DB41B16"/>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6"/>
    <w:qFormat/>
    <w:uiPriority w:val="0"/>
    <w:pPr>
      <w:ind w:firstLine="420"/>
    </w:pPr>
    <w:rPr>
      <w:rFonts w:eastAsia="宋体"/>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43"/>
    <w:unhideWhenUsed/>
    <w:qFormat/>
    <w:uiPriority w:val="99"/>
    <w:rPr>
      <w:rFonts w:ascii="宋体"/>
      <w:sz w:val="18"/>
      <w:szCs w:val="18"/>
    </w:rPr>
  </w:style>
  <w:style w:type="paragraph" w:styleId="9">
    <w:name w:val="annotation text"/>
    <w:basedOn w:val="1"/>
    <w:link w:val="80"/>
    <w:unhideWhenUsed/>
    <w:qFormat/>
    <w:uiPriority w:val="99"/>
    <w:pPr>
      <w:jc w:val="left"/>
    </w:pPr>
  </w:style>
  <w:style w:type="paragraph" w:styleId="10">
    <w:name w:val="Body Text"/>
    <w:basedOn w:val="1"/>
    <w:next w:val="1"/>
    <w:link w:val="83"/>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0"/>
    <w:qFormat/>
    <w:uiPriority w:val="0"/>
    <w:pPr>
      <w:spacing w:line="200" w:lineRule="atLeast"/>
      <w:ind w:firstLine="301"/>
    </w:pPr>
    <w:rPr>
      <w:rFonts w:ascii="宋体" w:hAnsi="Courier New"/>
      <w:spacing w:val="-4"/>
      <w:sz w:val="18"/>
    </w:rPr>
  </w:style>
  <w:style w:type="paragraph" w:styleId="12">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5"/>
    <w:qFormat/>
    <w:uiPriority w:val="0"/>
    <w:pPr>
      <w:spacing w:before="156" w:beforeLines="50" w:after="156" w:afterLines="50" w:line="400" w:lineRule="atLeast"/>
    </w:pPr>
    <w:rPr>
      <w:rFonts w:ascii="宋体" w:hAnsi="Courier New"/>
      <w:sz w:val="24"/>
      <w:szCs w:val="24"/>
    </w:rPr>
  </w:style>
  <w:style w:type="paragraph" w:styleId="14">
    <w:name w:val="Date"/>
    <w:basedOn w:val="1"/>
    <w:next w:val="1"/>
    <w:link w:val="86"/>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4"/>
    <w:qFormat/>
    <w:uiPriority w:val="0"/>
    <w:rPr>
      <w:rFonts w:ascii="Times New Roman" w:hAnsi="Times New Roman" w:eastAsia="宋体" w:cs="Times New Roman"/>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9"/>
    <w:next w:val="9"/>
    <w:link w:val="56"/>
    <w:unhideWhenUsed/>
    <w:qFormat/>
    <w:uiPriority w:val="99"/>
    <w:rPr>
      <w:b/>
      <w:bCs/>
      <w:sz w:val="28"/>
      <w:szCs w:val="24"/>
    </w:rPr>
  </w:style>
  <w:style w:type="paragraph" w:styleId="22">
    <w:name w:val="Body Text First Indent 2"/>
    <w:basedOn w:val="11"/>
    <w:link w:val="88"/>
    <w:unhideWhenUsed/>
    <w:qFormat/>
    <w:uiPriority w:val="99"/>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HTML Definition"/>
    <w:unhideWhenUsed/>
    <w:qFormat/>
    <w:uiPriority w:val="99"/>
    <w:rPr>
      <w:i/>
    </w:rPr>
  </w:style>
  <w:style w:type="character" w:styleId="30">
    <w:name w:val="Hyperlink"/>
    <w:qFormat/>
    <w:uiPriority w:val="0"/>
    <w:rPr>
      <w:color w:val="5579A7"/>
      <w:u w:val="none"/>
    </w:rPr>
  </w:style>
  <w:style w:type="character" w:styleId="31">
    <w:name w:val="HTML Code"/>
    <w:unhideWhenUsed/>
    <w:qFormat/>
    <w:uiPriority w:val="99"/>
    <w:rPr>
      <w:rFonts w:ascii="-apple-system" w:hAnsi="-apple-system" w:eastAsia="-apple-system" w:cs="-apple-system"/>
      <w:sz w:val="21"/>
      <w:szCs w:val="21"/>
    </w:rPr>
  </w:style>
  <w:style w:type="character" w:styleId="32">
    <w:name w:val="annotation reference"/>
    <w:unhideWhenUsed/>
    <w:qFormat/>
    <w:uiPriority w:val="99"/>
    <w:rPr>
      <w:sz w:val="21"/>
      <w:szCs w:val="21"/>
    </w:rPr>
  </w:style>
  <w:style w:type="character" w:styleId="33">
    <w:name w:val="HTML Keyboard"/>
    <w:unhideWhenUsed/>
    <w:qFormat/>
    <w:uiPriority w:val="99"/>
    <w:rPr>
      <w:rFonts w:hint="default" w:ascii="-apple-system" w:hAnsi="-apple-system" w:eastAsia="-apple-system" w:cs="-apple-system"/>
      <w:sz w:val="21"/>
      <w:szCs w:val="21"/>
    </w:rPr>
  </w:style>
  <w:style w:type="character" w:styleId="34">
    <w:name w:val="HTML Sample"/>
    <w:unhideWhenUsed/>
    <w:qFormat/>
    <w:uiPriority w:val="99"/>
    <w:rPr>
      <w:rFonts w:hint="default" w:ascii="-apple-system" w:hAnsi="-apple-system" w:eastAsia="-apple-system" w:cs="-apple-system"/>
      <w:sz w:val="21"/>
      <w:szCs w:val="21"/>
    </w:rPr>
  </w:style>
  <w:style w:type="character" w:customStyle="1" w:styleId="35">
    <w:name w:val="页眉 字符"/>
    <w:basedOn w:val="25"/>
    <w:link w:val="17"/>
    <w:qFormat/>
    <w:uiPriority w:val="99"/>
    <w:rPr>
      <w:sz w:val="18"/>
      <w:szCs w:val="18"/>
    </w:rPr>
  </w:style>
  <w:style w:type="character" w:customStyle="1" w:styleId="36">
    <w:name w:val="页脚 字符"/>
    <w:basedOn w:val="25"/>
    <w:link w:val="16"/>
    <w:qFormat/>
    <w:uiPriority w:val="99"/>
    <w:rPr>
      <w:sz w:val="18"/>
      <w:szCs w:val="18"/>
    </w:rPr>
  </w:style>
  <w:style w:type="character" w:customStyle="1" w:styleId="37">
    <w:name w:val="标题 1 字符"/>
    <w:basedOn w:val="25"/>
    <w:link w:val="2"/>
    <w:qFormat/>
    <w:uiPriority w:val="9"/>
    <w:rPr>
      <w:rFonts w:ascii="Times New Roman" w:hAnsi="Times New Roman" w:eastAsia="宋体" w:cs="Times New Roman"/>
      <w:b/>
      <w:bCs/>
      <w:kern w:val="44"/>
      <w:sz w:val="44"/>
      <w:szCs w:val="44"/>
    </w:rPr>
  </w:style>
  <w:style w:type="character" w:customStyle="1" w:styleId="38">
    <w:name w:val="标题 2 字符"/>
    <w:basedOn w:val="25"/>
    <w:link w:val="3"/>
    <w:qFormat/>
    <w:uiPriority w:val="9"/>
    <w:rPr>
      <w:rFonts w:ascii="Cambria" w:hAnsi="Cambria" w:eastAsia="宋体" w:cs="Times New Roman"/>
      <w:b/>
      <w:bCs/>
      <w:sz w:val="32"/>
      <w:szCs w:val="32"/>
    </w:rPr>
  </w:style>
  <w:style w:type="character" w:customStyle="1" w:styleId="39">
    <w:name w:val="标题 3 字符"/>
    <w:basedOn w:val="25"/>
    <w:link w:val="4"/>
    <w:qFormat/>
    <w:uiPriority w:val="9"/>
    <w:rPr>
      <w:rFonts w:ascii="Times New Roman" w:hAnsi="Times New Roman" w:eastAsia="宋体" w:cs="Times New Roman"/>
      <w:b/>
      <w:bCs/>
      <w:sz w:val="32"/>
      <w:szCs w:val="32"/>
    </w:rPr>
  </w:style>
  <w:style w:type="character" w:customStyle="1" w:styleId="40">
    <w:name w:val="jbox-icon-none"/>
    <w:qFormat/>
    <w:uiPriority w:val="0"/>
    <w:rPr>
      <w:vanish/>
    </w:rPr>
  </w:style>
  <w:style w:type="character" w:customStyle="1" w:styleId="41">
    <w:name w:val="z-窗体底端 字符"/>
    <w:link w:val="42"/>
    <w:qFormat/>
    <w:uiPriority w:val="99"/>
    <w:rPr>
      <w:rFonts w:ascii="Arial" w:hAnsi="Arial"/>
      <w:vanish/>
      <w:sz w:val="16"/>
      <w:szCs w:val="16"/>
    </w:rPr>
  </w:style>
  <w:style w:type="paragraph" w:customStyle="1" w:styleId="42">
    <w:name w:val="z-窗体底端1"/>
    <w:basedOn w:val="1"/>
    <w:next w:val="1"/>
    <w:link w:val="41"/>
    <w:unhideWhenUsed/>
    <w:qFormat/>
    <w:uiPriority w:val="99"/>
    <w:pPr>
      <w:widowControl/>
      <w:pBdr>
        <w:top w:val="single" w:color="auto" w:sz="6" w:space="1"/>
      </w:pBdr>
      <w:jc w:val="center"/>
    </w:pPr>
    <w:rPr>
      <w:rFonts w:ascii="Arial" w:hAnsi="Arial"/>
      <w:vanish/>
      <w:sz w:val="16"/>
      <w:szCs w:val="16"/>
    </w:rPr>
  </w:style>
  <w:style w:type="character" w:customStyle="1" w:styleId="43">
    <w:name w:val="文档结构图 字符"/>
    <w:link w:val="8"/>
    <w:qFormat/>
    <w:uiPriority w:val="99"/>
    <w:rPr>
      <w:rFonts w:ascii="宋体"/>
      <w:sz w:val="18"/>
      <w:szCs w:val="18"/>
    </w:rPr>
  </w:style>
  <w:style w:type="character" w:customStyle="1" w:styleId="44">
    <w:name w:val="black601"/>
    <w:qFormat/>
    <w:uiPriority w:val="0"/>
    <w:rPr>
      <w:color w:val="666666"/>
    </w:rPr>
  </w:style>
  <w:style w:type="character" w:customStyle="1" w:styleId="45">
    <w:name w:val="hour_pm"/>
    <w:basedOn w:val="25"/>
    <w:qFormat/>
    <w:uiPriority w:val="0"/>
  </w:style>
  <w:style w:type="character" w:customStyle="1" w:styleId="46">
    <w:name w:val="正文缩进 字符"/>
    <w:link w:val="6"/>
    <w:qFormat/>
    <w:uiPriority w:val="0"/>
    <w:rPr>
      <w:rFonts w:eastAsia="宋体"/>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jbox-icon-info"/>
    <w:basedOn w:val="25"/>
    <w:qFormat/>
    <w:uiPriority w:val="0"/>
  </w:style>
  <w:style w:type="character" w:customStyle="1" w:styleId="49">
    <w:name w:val="hover9"/>
    <w:qFormat/>
    <w:uiPriority w:val="0"/>
    <w:rPr>
      <w:shd w:val="clear" w:color="auto" w:fill="EEEEEE"/>
    </w:rPr>
  </w:style>
  <w:style w:type="character" w:customStyle="1" w:styleId="50">
    <w:name w:val="maywed421"/>
    <w:qFormat/>
    <w:uiPriority w:val="0"/>
    <w:rPr>
      <w:color w:val="366FB6"/>
      <w:u w:val="none"/>
    </w:rPr>
  </w:style>
  <w:style w:type="character" w:customStyle="1" w:styleId="51">
    <w:name w:val="old"/>
    <w:qFormat/>
    <w:uiPriority w:val="0"/>
    <w:rPr>
      <w:color w:val="999999"/>
    </w:rPr>
  </w:style>
  <w:style w:type="character" w:customStyle="1" w:styleId="52">
    <w:name w:val="jbox-icon-warning"/>
    <w:basedOn w:val="25"/>
    <w:qFormat/>
    <w:uiPriority w:val="0"/>
  </w:style>
  <w:style w:type="character" w:customStyle="1" w:styleId="53">
    <w:name w:val="z-窗体顶端 字符"/>
    <w:link w:val="54"/>
    <w:qFormat/>
    <w:uiPriority w:val="99"/>
    <w:rPr>
      <w:rFonts w:ascii="Arial" w:hAnsi="Arial"/>
      <w:vanish/>
      <w:sz w:val="16"/>
      <w:szCs w:val="16"/>
    </w:rPr>
  </w:style>
  <w:style w:type="paragraph" w:customStyle="1" w:styleId="54">
    <w:name w:val="z-窗体顶端1"/>
    <w:basedOn w:val="1"/>
    <w:next w:val="1"/>
    <w:link w:val="53"/>
    <w:unhideWhenUsed/>
    <w:qFormat/>
    <w:uiPriority w:val="99"/>
    <w:pPr>
      <w:widowControl/>
      <w:pBdr>
        <w:bottom w:val="single" w:color="auto" w:sz="6" w:space="1"/>
      </w:pBdr>
      <w:jc w:val="center"/>
    </w:pPr>
    <w:rPr>
      <w:rFonts w:ascii="Arial" w:hAnsi="Arial"/>
      <w:vanish/>
      <w:sz w:val="16"/>
      <w:szCs w:val="16"/>
    </w:rPr>
  </w:style>
  <w:style w:type="character" w:customStyle="1" w:styleId="55">
    <w:name w:val="纯文本 字符1"/>
    <w:link w:val="13"/>
    <w:qFormat/>
    <w:uiPriority w:val="99"/>
    <w:rPr>
      <w:rFonts w:ascii="宋体" w:hAnsi="Courier New"/>
      <w:sz w:val="24"/>
      <w:szCs w:val="24"/>
    </w:rPr>
  </w:style>
  <w:style w:type="character" w:customStyle="1" w:styleId="56">
    <w:name w:val="批注主题 字符"/>
    <w:link w:val="21"/>
    <w:qFormat/>
    <w:uiPriority w:val="99"/>
    <w:rPr>
      <w:b/>
      <w:bCs/>
      <w:sz w:val="28"/>
      <w:szCs w:val="24"/>
    </w:rPr>
  </w:style>
  <w:style w:type="character" w:customStyle="1" w:styleId="57">
    <w:name w:val="jbox-icon-loading"/>
    <w:basedOn w:val="25"/>
    <w:qFormat/>
    <w:uiPriority w:val="0"/>
  </w:style>
  <w:style w:type="character" w:customStyle="1" w:styleId="58">
    <w:name w:val="正文文本缩进 字符"/>
    <w:qFormat/>
    <w:uiPriority w:val="0"/>
    <w:rPr>
      <w:rFonts w:ascii="宋体" w:hAnsi="Courier New"/>
      <w:spacing w:val="-4"/>
      <w:kern w:val="2"/>
      <w:sz w:val="18"/>
    </w:rPr>
  </w:style>
  <w:style w:type="character" w:customStyle="1" w:styleId="59">
    <w:name w:val="正文文本缩进 字符1"/>
    <w:qFormat/>
    <w:uiPriority w:val="0"/>
    <w:rPr>
      <w:rFonts w:ascii="宋体" w:hAnsi="Courier New"/>
      <w:spacing w:val="-4"/>
      <w:kern w:val="2"/>
      <w:sz w:val="18"/>
    </w:rPr>
  </w:style>
  <w:style w:type="character" w:customStyle="1" w:styleId="60">
    <w:name w:val="纯文本 字符"/>
    <w:qFormat/>
    <w:uiPriority w:val="99"/>
    <w:rPr>
      <w:rFonts w:ascii="宋体" w:hAnsi="Courier New"/>
      <w:kern w:val="2"/>
      <w:sz w:val="24"/>
      <w:szCs w:val="24"/>
    </w:rPr>
  </w:style>
  <w:style w:type="character" w:customStyle="1" w:styleId="61">
    <w:name w:val="jbox-icon-question"/>
    <w:basedOn w:val="25"/>
    <w:qFormat/>
    <w:uiPriority w:val="0"/>
  </w:style>
  <w:style w:type="character" w:customStyle="1" w:styleId="62">
    <w:name w:val="jbox-icon"/>
    <w:basedOn w:val="25"/>
    <w:qFormat/>
    <w:uiPriority w:val="0"/>
  </w:style>
  <w:style w:type="character" w:customStyle="1" w:styleId="63">
    <w:name w:val="纯文本 字符2"/>
    <w:qFormat/>
    <w:uiPriority w:val="99"/>
    <w:rPr>
      <w:rFonts w:ascii="宋体" w:hAnsi="Courier New"/>
      <w:kern w:val="2"/>
      <w:sz w:val="24"/>
      <w:szCs w:val="24"/>
    </w:rPr>
  </w:style>
  <w:style w:type="character" w:customStyle="1" w:styleId="64">
    <w:name w:val="hour_am"/>
    <w:basedOn w:val="25"/>
    <w:qFormat/>
    <w:uiPriority w:val="0"/>
  </w:style>
  <w:style w:type="character" w:customStyle="1" w:styleId="65">
    <w:name w:val="jbox-icon-success"/>
    <w:basedOn w:val="25"/>
    <w:qFormat/>
    <w:uiPriority w:val="0"/>
  </w:style>
  <w:style w:type="character" w:customStyle="1" w:styleId="66">
    <w:name w:val="批注文字 字符"/>
    <w:qFormat/>
    <w:uiPriority w:val="99"/>
    <w:rPr>
      <w:kern w:val="2"/>
      <w:sz w:val="28"/>
      <w:szCs w:val="24"/>
    </w:rPr>
  </w:style>
  <w:style w:type="character" w:customStyle="1" w:styleId="67">
    <w:name w:val="纯文本 Char1"/>
    <w:qFormat/>
    <w:uiPriority w:val="0"/>
    <w:rPr>
      <w:rFonts w:ascii="宋体" w:hAnsi="Courier New"/>
      <w:kern w:val="2"/>
      <w:sz w:val="21"/>
    </w:rPr>
  </w:style>
  <w:style w:type="character" w:customStyle="1" w:styleId="68">
    <w:name w:val="纯文本 Char"/>
    <w:qFormat/>
    <w:uiPriority w:val="0"/>
    <w:rPr>
      <w:rFonts w:ascii="宋体" w:hAnsi="Courier New"/>
      <w:kern w:val="2"/>
      <w:sz w:val="24"/>
      <w:szCs w:val="24"/>
    </w:rPr>
  </w:style>
  <w:style w:type="character" w:customStyle="1" w:styleId="69">
    <w:name w:val="sub_title s0"/>
    <w:basedOn w:val="25"/>
    <w:qFormat/>
    <w:uiPriority w:val="0"/>
  </w:style>
  <w:style w:type="character" w:customStyle="1" w:styleId="70">
    <w:name w:val="正文文本缩进 字符2"/>
    <w:link w:val="11"/>
    <w:qFormat/>
    <w:uiPriority w:val="0"/>
    <w:rPr>
      <w:rFonts w:ascii="宋体" w:hAnsi="Courier New"/>
      <w:spacing w:val="-4"/>
      <w:sz w:val="18"/>
    </w:rPr>
  </w:style>
  <w:style w:type="character" w:customStyle="1" w:styleId="71">
    <w:name w:val="jbox-icon-error"/>
    <w:basedOn w:val="25"/>
    <w:qFormat/>
    <w:uiPriority w:val="0"/>
  </w:style>
  <w:style w:type="character" w:customStyle="1" w:styleId="72">
    <w:name w:val="正文文本 2 字符"/>
    <w:basedOn w:val="25"/>
    <w:link w:val="19"/>
    <w:qFormat/>
    <w:uiPriority w:val="0"/>
    <w:rPr>
      <w:rFonts w:ascii="宋体" w:hAnsi="宋体" w:eastAsia="宋体" w:cs="Times New Roman"/>
      <w:color w:val="000000"/>
      <w:sz w:val="24"/>
      <w:szCs w:val="24"/>
    </w:rPr>
  </w:style>
  <w:style w:type="paragraph" w:customStyle="1" w:styleId="7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z-窗体顶端 字符1"/>
    <w:basedOn w:val="25"/>
    <w:semiHidden/>
    <w:qFormat/>
    <w:uiPriority w:val="99"/>
    <w:rPr>
      <w:rFonts w:ascii="Arial" w:hAnsi="Arial" w:cs="Arial"/>
      <w:vanish/>
      <w:sz w:val="16"/>
      <w:szCs w:val="16"/>
    </w:rPr>
  </w:style>
  <w:style w:type="paragraph" w:customStyle="1" w:styleId="7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79">
    <w:name w:val="Default"/>
    <w:next w:val="7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0">
    <w:name w:val="批注文字 字符1"/>
    <w:basedOn w:val="25"/>
    <w:link w:val="9"/>
    <w:semiHidden/>
    <w:qFormat/>
    <w:uiPriority w:val="99"/>
  </w:style>
  <w:style w:type="character" w:customStyle="1" w:styleId="81">
    <w:name w:val="批注主题 字符1"/>
    <w:basedOn w:val="80"/>
    <w:semiHidden/>
    <w:qFormat/>
    <w:uiPriority w:val="99"/>
    <w:rPr>
      <w:b/>
      <w:bCs/>
    </w:rPr>
  </w:style>
  <w:style w:type="character" w:customStyle="1" w:styleId="82">
    <w:name w:val="文档结构图 字符1"/>
    <w:basedOn w:val="25"/>
    <w:semiHidden/>
    <w:qFormat/>
    <w:uiPriority w:val="99"/>
    <w:rPr>
      <w:rFonts w:ascii="Microsoft YaHei UI" w:eastAsia="Microsoft YaHei UI"/>
      <w:sz w:val="18"/>
      <w:szCs w:val="18"/>
    </w:rPr>
  </w:style>
  <w:style w:type="character" w:customStyle="1" w:styleId="83">
    <w:name w:val="正文文本 字符"/>
    <w:basedOn w:val="25"/>
    <w:link w:val="10"/>
    <w:qFormat/>
    <w:uiPriority w:val="99"/>
    <w:rPr>
      <w:rFonts w:ascii="Times New Roman" w:hAnsi="Times New Roman" w:eastAsia="宋体" w:cs="Times New Roman"/>
      <w:sz w:val="28"/>
      <w:szCs w:val="24"/>
    </w:rPr>
  </w:style>
  <w:style w:type="character" w:customStyle="1" w:styleId="84">
    <w:name w:val="批注框文本 字符"/>
    <w:basedOn w:val="25"/>
    <w:link w:val="15"/>
    <w:qFormat/>
    <w:uiPriority w:val="0"/>
    <w:rPr>
      <w:rFonts w:ascii="Times New Roman" w:hAnsi="Times New Roman" w:eastAsia="宋体" w:cs="Times New Roman"/>
      <w:sz w:val="18"/>
      <w:szCs w:val="18"/>
    </w:rPr>
  </w:style>
  <w:style w:type="character" w:customStyle="1" w:styleId="85">
    <w:name w:val="正文文本缩进 字符3"/>
    <w:basedOn w:val="25"/>
    <w:semiHidden/>
    <w:qFormat/>
    <w:uiPriority w:val="99"/>
  </w:style>
  <w:style w:type="character" w:customStyle="1" w:styleId="86">
    <w:name w:val="日期 字符"/>
    <w:basedOn w:val="25"/>
    <w:link w:val="14"/>
    <w:qFormat/>
    <w:uiPriority w:val="0"/>
    <w:rPr>
      <w:rFonts w:ascii="Times New Roman" w:hAnsi="Times New Roman" w:eastAsia="楷体_GB2312" w:cs="Times New Roman"/>
      <w:sz w:val="32"/>
      <w:szCs w:val="20"/>
    </w:rPr>
  </w:style>
  <w:style w:type="character" w:customStyle="1" w:styleId="87">
    <w:name w:val="纯文本 字符3"/>
    <w:basedOn w:val="25"/>
    <w:semiHidden/>
    <w:qFormat/>
    <w:uiPriority w:val="99"/>
    <w:rPr>
      <w:rFonts w:hAnsi="Courier New" w:cs="Courier New" w:asciiTheme="minorEastAsia"/>
    </w:rPr>
  </w:style>
  <w:style w:type="character" w:customStyle="1" w:styleId="88">
    <w:name w:val="正文文本首行缩进 2 字符"/>
    <w:basedOn w:val="85"/>
    <w:link w:val="22"/>
    <w:qFormat/>
    <w:uiPriority w:val="99"/>
    <w:rPr>
      <w:rFonts w:ascii="宋体" w:hAnsi="Courier New"/>
      <w:spacing w:val="-4"/>
      <w:sz w:val="18"/>
    </w:rPr>
  </w:style>
  <w:style w:type="character" w:customStyle="1" w:styleId="89">
    <w:name w:val="z-窗体底端 字符1"/>
    <w:basedOn w:val="25"/>
    <w:semiHidden/>
    <w:qFormat/>
    <w:uiPriority w:val="99"/>
    <w:rPr>
      <w:rFonts w:ascii="Arial" w:hAnsi="Arial" w:cs="Arial"/>
      <w:vanish/>
      <w:sz w:val="16"/>
      <w:szCs w:val="16"/>
    </w:rPr>
  </w:style>
  <w:style w:type="paragraph" w:customStyle="1" w:styleId="90">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1">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Char Char Char Char1"/>
    <w:basedOn w:val="1"/>
    <w:qFormat/>
    <w:uiPriority w:val="0"/>
    <w:rPr>
      <w:rFonts w:ascii="Tahoma" w:hAnsi="Tahoma" w:eastAsia="宋体" w:cs="Times New Roman"/>
      <w:sz w:val="24"/>
      <w:szCs w:val="20"/>
    </w:rPr>
  </w:style>
  <w:style w:type="paragraph" w:customStyle="1" w:styleId="96">
    <w:name w:val="彩色列表 - 强调文字颜色 11"/>
    <w:basedOn w:val="1"/>
    <w:qFormat/>
    <w:uiPriority w:val="34"/>
    <w:pPr>
      <w:ind w:firstLine="420" w:firstLineChars="200"/>
    </w:pPr>
    <w:rPr>
      <w:rFonts w:ascii="Calibri" w:hAnsi="Calibri" w:eastAsia="宋体" w:cs="Times New Roman"/>
    </w:rPr>
  </w:style>
  <w:style w:type="paragraph" w:customStyle="1" w:styleId="97">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8">
    <w:name w:val="正文2"/>
    <w:basedOn w:val="1"/>
    <w:link w:val="107"/>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9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0">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3">
    <w:name w:val="标题 10"/>
    <w:basedOn w:val="3"/>
    <w:qFormat/>
    <w:uiPriority w:val="0"/>
    <w:pPr>
      <w:jc w:val="center"/>
    </w:pPr>
    <w:rPr>
      <w:kern w:val="0"/>
    </w:rPr>
  </w:style>
  <w:style w:type="character" w:customStyle="1" w:styleId="104">
    <w:name w:val="未处理的提及1"/>
    <w:semiHidden/>
    <w:unhideWhenUsed/>
    <w:qFormat/>
    <w:uiPriority w:val="99"/>
    <w:rPr>
      <w:color w:val="605E5C"/>
      <w:shd w:val="clear" w:color="auto" w:fill="E1DFDD"/>
    </w:rPr>
  </w:style>
  <w:style w:type="character" w:customStyle="1" w:styleId="105">
    <w:name w:val="未处理的提及2"/>
    <w:basedOn w:val="25"/>
    <w:semiHidden/>
    <w:unhideWhenUsed/>
    <w:qFormat/>
    <w:uiPriority w:val="99"/>
    <w:rPr>
      <w:color w:val="605E5C"/>
      <w:shd w:val="clear" w:color="auto" w:fill="E1DFDD"/>
    </w:rPr>
  </w:style>
  <w:style w:type="character" w:customStyle="1" w:styleId="106">
    <w:name w:val="未处理的提及3"/>
    <w:basedOn w:val="25"/>
    <w:semiHidden/>
    <w:unhideWhenUsed/>
    <w:qFormat/>
    <w:uiPriority w:val="99"/>
    <w:rPr>
      <w:color w:val="605E5C"/>
      <w:shd w:val="clear" w:color="auto" w:fill="E1DFDD"/>
    </w:rPr>
  </w:style>
  <w:style w:type="character" w:customStyle="1" w:styleId="107">
    <w:name w:val="正文2 Char Char"/>
    <w:link w:val="98"/>
    <w:qFormat/>
    <w:uiPriority w:val="0"/>
    <w:rPr>
      <w:kern w:val="2"/>
      <w:sz w:val="24"/>
    </w:rPr>
  </w:style>
  <w:style w:type="table" w:customStyle="1" w:styleId="10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0">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11">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Normal.dotm</Template>
  <Pages>62</Pages>
  <Words>6810</Words>
  <Characters>38822</Characters>
  <Lines>323</Lines>
  <Paragraphs>91</Paragraphs>
  <TotalTime>44</TotalTime>
  <ScaleCrop>false</ScaleCrop>
  <LinksUpToDate>false</LinksUpToDate>
  <CharactersWithSpaces>45541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2023-10-15T12:41:00Z</dcterms:created>
  <dc:creator>hj j</dc:creator>
  <cp:lastModifiedBy>王惜墨焱</cp:lastModifiedBy>
  <cp:lastPrinted>2022-10-31T00:58:00Z</cp:lastPrinted>
  <dcterms:modified xsi:type="dcterms:W3CDTF">2023-10-17T02:31:28Z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B363B45C01FF4C5A8AB2573BD522DAF7</vt:lpwstr>
  </property>
</Properties>
</file>