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6979"/>
        </w:tabs>
        <w:spacing w:before="0" w:after="0" w:line="400" w:lineRule="exact"/>
        <w:jc w:val="center"/>
        <w:rPr>
          <w:sz w:val="36"/>
          <w:szCs w:val="36"/>
          <w:highlight w:val="none"/>
        </w:rPr>
      </w:pPr>
      <w:r>
        <w:rPr>
          <w:rFonts w:hint="eastAsia"/>
          <w:sz w:val="36"/>
          <w:szCs w:val="36"/>
          <w:highlight w:val="none"/>
        </w:rPr>
        <w:t>浙江机电职业技术学院</w:t>
      </w:r>
    </w:p>
    <w:p>
      <w:pPr>
        <w:pStyle w:val="2"/>
        <w:tabs>
          <w:tab w:val="center" w:pos="6979"/>
        </w:tabs>
        <w:spacing w:before="0" w:after="0" w:line="400" w:lineRule="exact"/>
        <w:jc w:val="center"/>
        <w:rPr>
          <w:sz w:val="36"/>
          <w:szCs w:val="36"/>
          <w:highlight w:val="none"/>
        </w:rPr>
      </w:pPr>
      <w:r>
        <w:rPr>
          <w:rFonts w:hint="eastAsia"/>
          <w:sz w:val="36"/>
          <w:szCs w:val="36"/>
          <w:highlight w:val="none"/>
        </w:rPr>
        <w:t>货物类采购需求单</w:t>
      </w:r>
    </w:p>
    <w:p>
      <w:pPr>
        <w:spacing w:afterLines="50"/>
        <w:jc w:val="left"/>
        <w:rPr>
          <w:b/>
          <w:sz w:val="24"/>
          <w:szCs w:val="24"/>
          <w:highlight w:val="none"/>
        </w:rPr>
      </w:pPr>
      <w:r>
        <w:rPr>
          <w:rFonts w:hint="eastAsia"/>
          <w:b/>
          <w:sz w:val="24"/>
          <w:szCs w:val="24"/>
          <w:highlight w:val="none"/>
        </w:rPr>
        <w:t>项目名称：</w:t>
      </w:r>
      <w:r>
        <w:rPr>
          <w:rFonts w:hint="eastAsia"/>
          <w:sz w:val="24"/>
          <w:szCs w:val="24"/>
          <w:highlight w:val="none"/>
          <w:u w:val="single"/>
        </w:rPr>
        <w:t xml:space="preserve">  海宁校区除颤仪增设项目 </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金额单位：元人民币</w:t>
      </w:r>
    </w:p>
    <w:tbl>
      <w:tblPr>
        <w:tblStyle w:val="8"/>
        <w:tblW w:w="5030" w:type="pct"/>
        <w:tblInd w:w="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490"/>
        <w:gridCol w:w="786"/>
        <w:gridCol w:w="1666"/>
        <w:gridCol w:w="335"/>
        <w:gridCol w:w="3881"/>
        <w:gridCol w:w="551"/>
        <w:gridCol w:w="633"/>
        <w:gridCol w:w="767"/>
        <w:gridCol w:w="700"/>
        <w:gridCol w:w="1600"/>
        <w:gridCol w:w="285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404" w:hRule="atLeast"/>
        </w:trPr>
        <w:tc>
          <w:tcPr>
            <w:tcW w:w="171" w:type="pct"/>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75" w:type="pct"/>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货物名称</w:t>
            </w:r>
          </w:p>
        </w:tc>
        <w:tc>
          <w:tcPr>
            <w:tcW w:w="584" w:type="pct"/>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规格型号、</w:t>
            </w: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技术参数</w:t>
            </w:r>
          </w:p>
          <w:p>
            <w:pPr>
              <w:jc w:val="center"/>
              <w:rPr>
                <w:rFonts w:hint="eastAsia" w:ascii="宋体" w:hAnsi="宋体" w:eastAsia="宋体" w:cs="宋体"/>
                <w:b/>
                <w:sz w:val="24"/>
                <w:szCs w:val="24"/>
                <w:highlight w:val="none"/>
              </w:rPr>
            </w:pPr>
          </w:p>
        </w:tc>
        <w:tc>
          <w:tcPr>
            <w:tcW w:w="1478" w:type="pct"/>
            <w:gridSpan w:val="2"/>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参考图片</w:t>
            </w:r>
          </w:p>
          <w:p>
            <w:pPr>
              <w:jc w:val="center"/>
              <w:rPr>
                <w:rFonts w:hint="eastAsia" w:ascii="宋体" w:hAnsi="宋体" w:eastAsia="宋体" w:cs="宋体"/>
                <w:b/>
                <w:sz w:val="24"/>
                <w:szCs w:val="24"/>
                <w:highlight w:val="none"/>
              </w:rPr>
            </w:pPr>
          </w:p>
        </w:tc>
        <w:tc>
          <w:tcPr>
            <w:tcW w:w="193" w:type="pct"/>
            <w:tcBorders>
              <w:right w:val="single" w:color="auto" w:sz="4" w:space="0"/>
            </w:tcBorders>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221" w:type="pct"/>
            <w:tcBorders>
              <w:left w:val="single" w:color="auto" w:sz="4" w:space="0"/>
            </w:tcBorders>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w:t>
            </w:r>
          </w:p>
        </w:tc>
        <w:tc>
          <w:tcPr>
            <w:tcW w:w="268" w:type="pct"/>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控制</w:t>
            </w: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单价</w:t>
            </w:r>
          </w:p>
        </w:tc>
        <w:tc>
          <w:tcPr>
            <w:tcW w:w="245" w:type="pct"/>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控制</w:t>
            </w: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总价</w:t>
            </w:r>
          </w:p>
        </w:tc>
        <w:tc>
          <w:tcPr>
            <w:tcW w:w="561" w:type="pct"/>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品牌及型号</w:t>
            </w:r>
          </w:p>
        </w:tc>
        <w:tc>
          <w:tcPr>
            <w:tcW w:w="999" w:type="pct"/>
            <w:vAlign w:val="center"/>
          </w:tcPr>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p>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（存放位置:实训室名称、楼栋房间号）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9" w:hRule="exact"/>
        </w:trPr>
        <w:tc>
          <w:tcPr>
            <w:tcW w:w="171" w:type="pct"/>
            <w:vAlign w:val="center"/>
          </w:tcPr>
          <w:p>
            <w:pPr>
              <w:spacing w:line="300" w:lineRule="auto"/>
              <w:jc w:val="center"/>
              <w:rPr>
                <w:rFonts w:asciiTheme="minorEastAsia" w:hAnsiTheme="minorEastAsia"/>
                <w:sz w:val="24"/>
                <w:szCs w:val="24"/>
                <w:highlight w:val="none"/>
              </w:rPr>
            </w:pPr>
            <w:r>
              <w:rPr>
                <w:rFonts w:hint="eastAsia" w:asciiTheme="minorEastAsia" w:hAnsiTheme="minorEastAsia"/>
                <w:sz w:val="24"/>
                <w:szCs w:val="24"/>
                <w:highlight w:val="none"/>
              </w:rPr>
              <w:t>1</w:t>
            </w:r>
          </w:p>
        </w:tc>
        <w:tc>
          <w:tcPr>
            <w:tcW w:w="275" w:type="pct"/>
            <w:vAlign w:val="center"/>
          </w:tcPr>
          <w:p>
            <w:pPr>
              <w:widowControl/>
              <w:spacing w:line="300" w:lineRule="auto"/>
              <w:jc w:val="center"/>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半自动体外除颤仪</w:t>
            </w:r>
          </w:p>
        </w:tc>
        <w:tc>
          <w:tcPr>
            <w:tcW w:w="584" w:type="pct"/>
            <w:vAlign w:val="center"/>
          </w:tcPr>
          <w:p>
            <w:pPr>
              <w:spacing w:line="300" w:lineRule="auto"/>
              <w:jc w:val="center"/>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型号：普美康AED除颤仪</w:t>
            </w:r>
          </w:p>
          <w:p>
            <w:pPr>
              <w:spacing w:line="300" w:lineRule="auto"/>
              <w:jc w:val="center"/>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参数：除颤</w:t>
            </w:r>
          </w:p>
          <w:p>
            <w:pPr>
              <w:spacing w:line="300" w:lineRule="auto"/>
              <w:jc w:val="center"/>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配套：挂墙式警报箱</w:t>
            </w:r>
          </w:p>
        </w:tc>
        <w:tc>
          <w:tcPr>
            <w:tcW w:w="1478" w:type="pct"/>
            <w:gridSpan w:val="2"/>
            <w:vAlign w:val="center"/>
          </w:tcPr>
          <w:p>
            <w:pPr>
              <w:spacing w:line="300" w:lineRule="auto"/>
              <w:jc w:val="center"/>
              <w:rPr>
                <w:rFonts w:asciiTheme="minorEastAsia" w:hAnsiTheme="minorEastAsia"/>
                <w:sz w:val="24"/>
                <w:szCs w:val="24"/>
                <w:highlight w:val="none"/>
              </w:rPr>
            </w:pPr>
            <w:r>
              <w:rPr>
                <w:rFonts w:asciiTheme="minorEastAsia" w:hAnsiTheme="minorEastAsia"/>
                <w:sz w:val="24"/>
                <w:szCs w:val="24"/>
                <w:highlight w:val="none"/>
              </w:rPr>
              <w:drawing>
                <wp:inline distT="0" distB="0" distL="0" distR="0">
                  <wp:extent cx="2751455" cy="995680"/>
                  <wp:effectExtent l="0" t="0" r="10795" b="13970"/>
                  <wp:docPr id="1" name="图片 0" descr="微信图片_20210603083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10603083631.jpg"/>
                          <pic:cNvPicPr>
                            <a:picLocks noChangeAspect="1"/>
                          </pic:cNvPicPr>
                        </pic:nvPicPr>
                        <pic:blipFill>
                          <a:blip r:embed="rId5"/>
                          <a:stretch>
                            <a:fillRect/>
                          </a:stretch>
                        </pic:blipFill>
                        <pic:spPr>
                          <a:xfrm>
                            <a:off x="0" y="0"/>
                            <a:ext cx="2751455" cy="995680"/>
                          </a:xfrm>
                          <a:prstGeom prst="rect">
                            <a:avLst/>
                          </a:prstGeom>
                        </pic:spPr>
                      </pic:pic>
                    </a:graphicData>
                  </a:graphic>
                </wp:inline>
              </w:drawing>
            </w:r>
          </w:p>
        </w:tc>
        <w:tc>
          <w:tcPr>
            <w:tcW w:w="193" w:type="pct"/>
            <w:tcBorders>
              <w:right w:val="single" w:color="auto" w:sz="4" w:space="0"/>
            </w:tcBorders>
            <w:vAlign w:val="center"/>
          </w:tcPr>
          <w:p>
            <w:pPr>
              <w:spacing w:line="300" w:lineRule="auto"/>
              <w:jc w:val="center"/>
              <w:rPr>
                <w:rFonts w:asciiTheme="minorEastAsia" w:hAnsiTheme="minorEastAsia"/>
                <w:sz w:val="24"/>
                <w:szCs w:val="24"/>
                <w:highlight w:val="none"/>
              </w:rPr>
            </w:pPr>
            <w:r>
              <w:rPr>
                <w:rFonts w:hint="eastAsia" w:asciiTheme="minorEastAsia" w:hAnsiTheme="minorEastAsia"/>
                <w:sz w:val="24"/>
                <w:szCs w:val="24"/>
                <w:highlight w:val="none"/>
              </w:rPr>
              <w:t>3</w:t>
            </w:r>
          </w:p>
        </w:tc>
        <w:tc>
          <w:tcPr>
            <w:tcW w:w="221" w:type="pct"/>
            <w:tcBorders>
              <w:left w:val="single" w:color="auto" w:sz="4" w:space="0"/>
            </w:tcBorders>
            <w:vAlign w:val="center"/>
          </w:tcPr>
          <w:p>
            <w:pPr>
              <w:spacing w:line="300" w:lineRule="auto"/>
              <w:jc w:val="center"/>
              <w:rPr>
                <w:rFonts w:asciiTheme="minorEastAsia" w:hAnsiTheme="minorEastAsia"/>
                <w:sz w:val="24"/>
                <w:szCs w:val="24"/>
                <w:highlight w:val="none"/>
              </w:rPr>
            </w:pPr>
            <w:r>
              <w:rPr>
                <w:rFonts w:hint="eastAsia" w:asciiTheme="minorEastAsia" w:hAnsiTheme="minorEastAsia"/>
                <w:sz w:val="24"/>
                <w:szCs w:val="24"/>
                <w:highlight w:val="none"/>
              </w:rPr>
              <w:t>台</w:t>
            </w:r>
          </w:p>
        </w:tc>
        <w:tc>
          <w:tcPr>
            <w:tcW w:w="268" w:type="pct"/>
            <w:vAlign w:val="center"/>
          </w:tcPr>
          <w:p>
            <w:pPr>
              <w:spacing w:line="300" w:lineRule="auto"/>
              <w:jc w:val="center"/>
              <w:rPr>
                <w:rFonts w:asciiTheme="minorEastAsia" w:hAnsiTheme="minorEastAsia"/>
                <w:sz w:val="24"/>
                <w:szCs w:val="24"/>
                <w:highlight w:val="none"/>
              </w:rPr>
            </w:pPr>
            <w:r>
              <w:rPr>
                <w:rFonts w:hint="eastAsia" w:asciiTheme="minorEastAsia" w:hAnsiTheme="minorEastAsia"/>
                <w:sz w:val="24"/>
                <w:szCs w:val="24"/>
                <w:highlight w:val="none"/>
              </w:rPr>
              <w:t>3.00万</w:t>
            </w:r>
          </w:p>
        </w:tc>
        <w:tc>
          <w:tcPr>
            <w:tcW w:w="245" w:type="pct"/>
            <w:vAlign w:val="center"/>
          </w:tcPr>
          <w:p>
            <w:pPr>
              <w:spacing w:line="300" w:lineRule="auto"/>
              <w:jc w:val="center"/>
              <w:rPr>
                <w:rFonts w:asciiTheme="minorEastAsia" w:hAnsiTheme="minorEastAsia"/>
                <w:sz w:val="24"/>
                <w:szCs w:val="24"/>
                <w:highlight w:val="none"/>
              </w:rPr>
            </w:pPr>
            <w:r>
              <w:rPr>
                <w:rFonts w:hint="eastAsia" w:asciiTheme="minorEastAsia" w:hAnsiTheme="minorEastAsia"/>
                <w:sz w:val="24"/>
                <w:szCs w:val="24"/>
                <w:highlight w:val="none"/>
              </w:rPr>
              <w:t>9.0万</w:t>
            </w:r>
          </w:p>
        </w:tc>
        <w:tc>
          <w:tcPr>
            <w:tcW w:w="561" w:type="pct"/>
            <w:tcBorders>
              <w:bottom w:val="single" w:color="auto" w:sz="4" w:space="0"/>
            </w:tcBorders>
            <w:vAlign w:val="center"/>
          </w:tcPr>
          <w:p>
            <w:pPr>
              <w:spacing w:line="240" w:lineRule="exact"/>
              <w:jc w:val="center"/>
              <w:rPr>
                <w:rFonts w:asciiTheme="minorEastAsia" w:hAnsiTheme="minorEastAsia"/>
                <w:color w:val="000000"/>
                <w:kern w:val="0"/>
                <w:sz w:val="24"/>
                <w:szCs w:val="24"/>
                <w:highlight w:val="none"/>
              </w:rPr>
            </w:pPr>
            <w:r>
              <w:rPr>
                <w:rFonts w:hint="eastAsia" w:asciiTheme="minorEastAsia" w:hAnsiTheme="minorEastAsia"/>
                <w:color w:val="000000"/>
                <w:kern w:val="0"/>
                <w:sz w:val="24"/>
                <w:szCs w:val="24"/>
                <w:highlight w:val="none"/>
              </w:rPr>
              <w:t>品牌：普美康PRIMEDIC</w:t>
            </w:r>
          </w:p>
          <w:p>
            <w:pPr>
              <w:spacing w:line="240" w:lineRule="exact"/>
              <w:jc w:val="center"/>
              <w:rPr>
                <w:rFonts w:asciiTheme="minorEastAsia" w:hAnsiTheme="minorEastAsia"/>
                <w:color w:val="000000"/>
                <w:kern w:val="0"/>
                <w:sz w:val="24"/>
                <w:szCs w:val="24"/>
                <w:highlight w:val="none"/>
              </w:rPr>
            </w:pPr>
            <w:r>
              <w:rPr>
                <w:rFonts w:hint="eastAsia" w:asciiTheme="minorEastAsia" w:hAnsiTheme="minorEastAsia"/>
                <w:color w:val="000000"/>
                <w:kern w:val="0"/>
                <w:sz w:val="24"/>
                <w:szCs w:val="24"/>
                <w:highlight w:val="none"/>
              </w:rPr>
              <w:t>型号：HeartSave AED （M250）</w:t>
            </w:r>
          </w:p>
        </w:tc>
        <w:tc>
          <w:tcPr>
            <w:tcW w:w="999" w:type="pct"/>
            <w:vAlign w:val="center"/>
          </w:tcPr>
          <w:p>
            <w:pPr>
              <w:spacing w:line="300" w:lineRule="auto"/>
              <w:jc w:val="center"/>
              <w:rPr>
                <w:rFonts w:hint="eastAsia" w:asciiTheme="minorEastAsia" w:hAnsiTheme="minorEastAsia"/>
                <w:color w:val="000000"/>
                <w:kern w:val="0"/>
                <w:sz w:val="24"/>
                <w:szCs w:val="24"/>
                <w:highlight w:val="none"/>
              </w:rPr>
            </w:pPr>
            <w:r>
              <w:rPr>
                <w:rFonts w:hint="eastAsia" w:asciiTheme="minorEastAsia" w:hAnsiTheme="minorEastAsia"/>
                <w:color w:val="000000"/>
                <w:kern w:val="0"/>
                <w:sz w:val="24"/>
                <w:szCs w:val="24"/>
                <w:highlight w:val="none"/>
              </w:rPr>
              <w:t>存放位置(海宁校区)：</w:t>
            </w:r>
          </w:p>
          <w:p>
            <w:pPr>
              <w:spacing w:line="300" w:lineRule="auto"/>
              <w:jc w:val="center"/>
              <w:rPr>
                <w:rFonts w:asciiTheme="minorEastAsia" w:hAnsiTheme="minorEastAsia"/>
                <w:color w:val="000000"/>
                <w:kern w:val="0"/>
                <w:sz w:val="24"/>
                <w:szCs w:val="24"/>
                <w:highlight w:val="none"/>
              </w:rPr>
            </w:pPr>
            <w:r>
              <w:rPr>
                <w:rFonts w:hint="eastAsia" w:asciiTheme="minorEastAsia" w:hAnsiTheme="minorEastAsia"/>
                <w:color w:val="000000"/>
                <w:kern w:val="0"/>
                <w:sz w:val="24"/>
                <w:szCs w:val="24"/>
                <w:highlight w:val="none"/>
              </w:rPr>
              <w:t>1、图书馆南门；2、6号楼学生公寓（一楼）；3</w:t>
            </w:r>
            <w:r>
              <w:rPr>
                <w:rFonts w:hint="eastAsia" w:asciiTheme="minorEastAsia" w:hAnsiTheme="minorEastAsia"/>
                <w:color w:val="000000"/>
                <w:kern w:val="0"/>
                <w:sz w:val="24"/>
                <w:szCs w:val="24"/>
                <w:highlight w:val="none"/>
                <w:lang w:eastAsia="zh-CN"/>
              </w:rPr>
              <w:t>、</w:t>
            </w:r>
            <w:r>
              <w:rPr>
                <w:rFonts w:hint="eastAsia" w:asciiTheme="minorEastAsia" w:hAnsiTheme="minorEastAsia"/>
                <w:color w:val="000000"/>
                <w:kern w:val="0"/>
                <w:sz w:val="24"/>
                <w:szCs w:val="24"/>
                <w:highlight w:val="none"/>
              </w:rPr>
              <w:t>体育场（看台下）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20" w:hRule="exact"/>
        </w:trPr>
        <w:tc>
          <w:tcPr>
            <w:tcW w:w="1149" w:type="pct"/>
            <w:gridSpan w:val="4"/>
            <w:vAlign w:val="center"/>
          </w:tcPr>
          <w:p>
            <w:pPr>
              <w:spacing w:line="336" w:lineRule="auto"/>
              <w:jc w:val="center"/>
              <w:rPr>
                <w:rFonts w:asciiTheme="minorEastAsia" w:hAnsiTheme="minorEastAsia"/>
                <w:sz w:val="24"/>
                <w:szCs w:val="24"/>
                <w:highlight w:val="none"/>
              </w:rPr>
            </w:pPr>
            <w:r>
              <w:rPr>
                <w:rFonts w:hint="eastAsia" w:asciiTheme="minorEastAsia" w:hAnsiTheme="minorEastAsia"/>
                <w:b/>
                <w:szCs w:val="21"/>
                <w:highlight w:val="none"/>
              </w:rPr>
              <w:t>合   计</w:t>
            </w:r>
          </w:p>
        </w:tc>
        <w:tc>
          <w:tcPr>
            <w:tcW w:w="3850" w:type="pct"/>
            <w:gridSpan w:val="7"/>
            <w:vAlign w:val="center"/>
          </w:tcPr>
          <w:p>
            <w:pPr>
              <w:spacing w:line="336" w:lineRule="auto"/>
              <w:ind w:firstLine="413" w:firstLineChars="196"/>
              <w:jc w:val="left"/>
              <w:rPr>
                <w:rFonts w:asciiTheme="minorEastAsia" w:hAnsiTheme="minorEastAsia"/>
                <w:szCs w:val="21"/>
                <w:highlight w:val="none"/>
              </w:rPr>
            </w:pPr>
            <w:r>
              <w:rPr>
                <w:rFonts w:hint="eastAsia" w:asciiTheme="minorEastAsia" w:hAnsiTheme="minorEastAsia"/>
                <w:b/>
                <w:szCs w:val="21"/>
                <w:highlight w:val="none"/>
              </w:rPr>
              <w:t>小写</w:t>
            </w:r>
            <w:r>
              <w:rPr>
                <w:rFonts w:hint="eastAsia" w:asciiTheme="minorEastAsia" w:hAnsiTheme="minorEastAsia"/>
                <w:szCs w:val="21"/>
                <w:highlight w:val="none"/>
              </w:rPr>
              <w:t>：</w:t>
            </w:r>
            <w:r>
              <w:rPr>
                <w:rFonts w:hint="eastAsia" w:asciiTheme="minorEastAsia" w:hAnsiTheme="minorEastAsia"/>
                <w:bCs/>
                <w:szCs w:val="21"/>
                <w:highlight w:val="none"/>
              </w:rPr>
              <w:t>￥</w:t>
            </w:r>
            <w:r>
              <w:rPr>
                <w:rFonts w:hint="eastAsia" w:asciiTheme="minorEastAsia" w:hAnsiTheme="minorEastAsia"/>
                <w:bCs/>
                <w:szCs w:val="21"/>
                <w:highlight w:val="none"/>
                <w:u w:val="single"/>
              </w:rPr>
              <w:t xml:space="preserve"> 90000</w:t>
            </w:r>
            <w:r>
              <w:rPr>
                <w:rFonts w:hint="eastAsia" w:asciiTheme="minorEastAsia" w:hAnsiTheme="minorEastAsia"/>
                <w:b/>
                <w:szCs w:val="21"/>
                <w:highlight w:val="none"/>
              </w:rPr>
              <w:t>元</w:t>
            </w:r>
          </w:p>
          <w:p>
            <w:pPr>
              <w:pStyle w:val="17"/>
              <w:spacing w:line="480" w:lineRule="auto"/>
              <w:ind w:left="420" w:firstLine="0" w:firstLineChars="0"/>
              <w:jc w:val="left"/>
              <w:rPr>
                <w:rFonts w:cs="宋体" w:asciiTheme="minorEastAsia" w:hAnsiTheme="minorEastAsia"/>
                <w:color w:val="000000"/>
                <w:kern w:val="0"/>
                <w:sz w:val="24"/>
                <w:szCs w:val="24"/>
                <w:highlight w:val="none"/>
              </w:rPr>
            </w:pPr>
            <w:r>
              <w:rPr>
                <w:rFonts w:hint="eastAsia" w:asciiTheme="minorEastAsia" w:hAnsiTheme="minorEastAsia"/>
                <w:b/>
                <w:szCs w:val="21"/>
                <w:highlight w:val="none"/>
              </w:rPr>
              <w:t>大写</w:t>
            </w:r>
            <w:r>
              <w:rPr>
                <w:rFonts w:hint="eastAsia" w:asciiTheme="minorEastAsia" w:hAnsiTheme="minorEastAsia"/>
                <w:szCs w:val="21"/>
                <w:highlight w:val="none"/>
              </w:rPr>
              <w:t>：</w:t>
            </w:r>
            <w:r>
              <w:rPr>
                <w:rFonts w:hint="eastAsia" w:asciiTheme="minorEastAsia" w:hAnsiTheme="minorEastAsia"/>
                <w:b/>
                <w:szCs w:val="21"/>
                <w:highlight w:val="none"/>
              </w:rPr>
              <w:t>人民币</w:t>
            </w:r>
            <w:r>
              <w:rPr>
                <w:rFonts w:hint="eastAsia" w:asciiTheme="minorEastAsia" w:hAnsiTheme="minorEastAsia"/>
                <w:b/>
                <w:szCs w:val="21"/>
                <w:highlight w:val="none"/>
                <w:u w:val="single"/>
              </w:rPr>
              <w:t xml:space="preserve"> 玖万 </w:t>
            </w:r>
            <w:r>
              <w:rPr>
                <w:rFonts w:hint="eastAsia" w:asciiTheme="minorEastAsia" w:hAnsiTheme="minorEastAsia"/>
                <w:b/>
                <w:szCs w:val="21"/>
                <w:highlight w:val="none"/>
              </w:rPr>
              <w:t>元整</w:t>
            </w:r>
          </w:p>
        </w:tc>
      </w:tr>
    </w:tbl>
    <w:p>
      <w:pPr>
        <w:spacing w:beforeLines="50" w:afterLines="50"/>
        <w:jc w:val="left"/>
        <w:rPr>
          <w:b/>
          <w:sz w:val="24"/>
          <w:szCs w:val="24"/>
          <w:highlight w:val="none"/>
        </w:rPr>
      </w:pPr>
      <w:r>
        <w:rPr>
          <w:rFonts w:hint="eastAsia"/>
          <w:b/>
          <w:sz w:val="24"/>
          <w:szCs w:val="24"/>
          <w:highlight w:val="none"/>
        </w:rPr>
        <w:t>商务要求：</w:t>
      </w:r>
      <w:r>
        <w:rPr>
          <w:b/>
          <w:sz w:val="24"/>
          <w:szCs w:val="24"/>
          <w:highlight w:val="none"/>
        </w:rPr>
        <w:t xml:space="preserve"> </w:t>
      </w:r>
    </w:p>
    <w:p>
      <w:pPr>
        <w:pStyle w:val="17"/>
        <w:numPr>
          <w:ilvl w:val="0"/>
          <w:numId w:val="1"/>
        </w:numPr>
        <w:spacing w:line="360" w:lineRule="auto"/>
        <w:ind w:left="425" w:leftChars="0" w:hanging="425" w:firstLineChars="0"/>
        <w:rPr>
          <w:sz w:val="24"/>
          <w:szCs w:val="24"/>
          <w:highlight w:val="none"/>
        </w:rPr>
      </w:pPr>
      <w:r>
        <w:rPr>
          <w:rFonts w:hint="eastAsia" w:ascii="宋体" w:hAnsi="宋体"/>
          <w:b/>
          <w:sz w:val="24"/>
          <w:szCs w:val="24"/>
          <w:highlight w:val="none"/>
        </w:rPr>
        <w:t>报价须知：</w:t>
      </w:r>
      <w:r>
        <w:rPr>
          <w:rFonts w:hint="eastAsia" w:ascii="宋体" w:hAnsi="宋体"/>
          <w:highlight w:val="none"/>
        </w:rPr>
        <w:t>本次采购为交钥匙项目，报价应包括以上设备的送货上门、安装调试、培训、税费等涉及此项目完成的全部费用。</w:t>
      </w:r>
    </w:p>
    <w:p>
      <w:pPr>
        <w:pStyle w:val="17"/>
        <w:numPr>
          <w:ilvl w:val="0"/>
          <w:numId w:val="1"/>
        </w:numPr>
        <w:ind w:left="425" w:leftChars="0" w:hanging="425" w:firstLineChars="0"/>
        <w:rPr>
          <w:sz w:val="24"/>
          <w:szCs w:val="24"/>
          <w:highlight w:val="red"/>
        </w:rPr>
      </w:pPr>
      <w:r>
        <w:rPr>
          <w:rFonts w:hint="eastAsia"/>
          <w:highlight w:val="red"/>
        </w:rPr>
        <w:sym w:font="Wingdings" w:char="F0AB"/>
      </w:r>
      <w:r>
        <w:rPr>
          <w:rFonts w:hint="eastAsia"/>
          <w:b/>
          <w:sz w:val="24"/>
          <w:szCs w:val="24"/>
          <w:highlight w:val="red"/>
        </w:rPr>
        <w:t>质量保证：</w:t>
      </w:r>
      <w:r>
        <w:rPr>
          <w:rFonts w:hint="eastAsia" w:ascii="宋体" w:hAnsi="宋体"/>
          <w:highlight w:val="red"/>
        </w:rPr>
        <w:t>所投产品必须满足招标参数的全部要求，不允许负偏离，要求原厂全新正品，质量及安装要达到国家标准，否则视为无效投标并追究</w:t>
      </w:r>
      <w:r>
        <w:rPr>
          <w:rFonts w:hint="eastAsia" w:ascii="宋体" w:hAnsi="宋体"/>
          <w:highlight w:val="red"/>
          <w:lang w:eastAsia="zh-CN"/>
        </w:rPr>
        <w:t>。</w:t>
      </w:r>
    </w:p>
    <w:p>
      <w:pPr>
        <w:pStyle w:val="17"/>
        <w:numPr>
          <w:ilvl w:val="0"/>
          <w:numId w:val="1"/>
        </w:numPr>
        <w:ind w:left="425" w:leftChars="0" w:hanging="425" w:firstLineChars="0"/>
        <w:rPr>
          <w:sz w:val="24"/>
          <w:szCs w:val="24"/>
          <w:highlight w:val="none"/>
        </w:rPr>
      </w:pPr>
      <w:r>
        <w:rPr>
          <w:rFonts w:hint="eastAsia"/>
          <w:b/>
          <w:sz w:val="24"/>
          <w:szCs w:val="24"/>
          <w:highlight w:val="none"/>
        </w:rPr>
        <w:t>售后服务保障要求：</w:t>
      </w:r>
    </w:p>
    <w:p>
      <w:pPr>
        <w:pStyle w:val="17"/>
        <w:numPr>
          <w:ilvl w:val="1"/>
          <w:numId w:val="2"/>
        </w:numPr>
        <w:spacing w:line="408" w:lineRule="auto"/>
        <w:ind w:left="420" w:firstLine="0" w:firstLineChars="0"/>
        <w:jc w:val="left"/>
        <w:rPr>
          <w:rFonts w:asciiTheme="minorEastAsia" w:hAnsiTheme="minorEastAsia"/>
          <w:highlight w:val="none"/>
        </w:rPr>
      </w:pPr>
      <w:r>
        <w:rPr>
          <w:rFonts w:hint="eastAsia" w:asciiTheme="minorEastAsia" w:hAnsiTheme="minorEastAsia"/>
          <w:highlight w:val="none"/>
        </w:rPr>
        <w:t>货物</w:t>
      </w:r>
      <w:r>
        <w:rPr>
          <w:rFonts w:hint="eastAsia" w:asciiTheme="minorEastAsia" w:hAnsiTheme="minorEastAsia"/>
          <w:highlight w:val="none"/>
        </w:rPr>
        <w:t>（设备/软件）</w:t>
      </w:r>
      <w:r>
        <w:rPr>
          <w:rFonts w:hint="eastAsia" w:asciiTheme="minorEastAsia" w:hAnsiTheme="minorEastAsia"/>
          <w:highlight w:val="none"/>
        </w:rPr>
        <w:t xml:space="preserve">验收合格后提供 </w:t>
      </w:r>
      <w:r>
        <w:rPr>
          <w:rFonts w:hint="eastAsia" w:asciiTheme="minorEastAsia" w:hAnsiTheme="minorEastAsia"/>
          <w:color w:val="44454D"/>
          <w:sz w:val="20"/>
          <w:szCs w:val="20"/>
          <w:highlight w:val="none"/>
          <w:u w:val="single"/>
          <w:shd w:val="clear" w:color="auto" w:fill="F3FAFD"/>
        </w:rPr>
        <w:t>≥</w:t>
      </w:r>
      <w:r>
        <w:rPr>
          <w:rFonts w:hint="eastAsia" w:asciiTheme="minorEastAsia" w:hAnsiTheme="minorEastAsia"/>
          <w:highlight w:val="none"/>
          <w:u w:val="single"/>
        </w:rPr>
        <w:t xml:space="preserve"> 1 </w:t>
      </w:r>
      <w:r>
        <w:rPr>
          <w:rFonts w:hint="eastAsia" w:asciiTheme="minorEastAsia" w:hAnsiTheme="minorEastAsia"/>
          <w:highlight w:val="none"/>
        </w:rPr>
        <w:t xml:space="preserve"> 年质保，质保期内因不能排除的故障而影响工作的情况每发生一次，质保期相应延长60天，质保期内因设备本身缺陷造成各种故障应由卖方免费技术服务和维修，若技术需求中有质保要求，以技术需求为准。</w:t>
      </w:r>
    </w:p>
    <w:p>
      <w:pPr>
        <w:pStyle w:val="17"/>
        <w:numPr>
          <w:ilvl w:val="1"/>
          <w:numId w:val="2"/>
        </w:numPr>
        <w:spacing w:line="408" w:lineRule="auto"/>
        <w:ind w:left="420" w:firstLine="0" w:firstLineChars="0"/>
        <w:jc w:val="left"/>
        <w:rPr>
          <w:rFonts w:asciiTheme="minorEastAsia" w:hAnsiTheme="minorEastAsia"/>
          <w:highlight w:val="none"/>
        </w:rPr>
      </w:pPr>
      <w:r>
        <w:rPr>
          <w:rFonts w:hint="eastAsia" w:asciiTheme="minorEastAsia" w:hAnsiTheme="minorEastAsia"/>
          <w:highlight w:val="none"/>
        </w:rPr>
        <w:t>货物（设备）质保期内非人为因素出现的质量问题，须按国家有关规定和要求（如无国家规定和要求的，按承诺和厂方“三包”规定）立即进行免费维修、免费更换有缺陷的零部件、直至免费更换新货物。质保期外发生的损坏，负责设备的终身维修，修理和换件应按成本费收取，不再收取其它费用。</w:t>
      </w:r>
    </w:p>
    <w:p>
      <w:pPr>
        <w:pStyle w:val="17"/>
        <w:numPr>
          <w:ilvl w:val="1"/>
          <w:numId w:val="2"/>
        </w:numPr>
        <w:spacing w:line="408" w:lineRule="auto"/>
        <w:ind w:left="420" w:firstLine="0" w:firstLineChars="0"/>
        <w:jc w:val="left"/>
        <w:rPr>
          <w:rFonts w:asciiTheme="minorEastAsia" w:hAnsiTheme="minorEastAsia"/>
          <w:highlight w:val="none"/>
        </w:rPr>
      </w:pPr>
      <w:r>
        <w:rPr>
          <w:rFonts w:hint="eastAsia" w:asciiTheme="minorEastAsia" w:hAnsiTheme="minorEastAsia"/>
          <w:highlight w:val="none"/>
        </w:rPr>
        <w:t>货物</w:t>
      </w:r>
      <w:r>
        <w:rPr>
          <w:rFonts w:hint="eastAsia" w:asciiTheme="minorEastAsia" w:hAnsiTheme="minorEastAsia"/>
          <w:highlight w:val="none"/>
        </w:rPr>
        <w:t>（设备/软件）</w:t>
      </w:r>
      <w:r>
        <w:rPr>
          <w:rFonts w:hint="eastAsia" w:asciiTheme="minorEastAsia" w:hAnsiTheme="minorEastAsia"/>
          <w:highlight w:val="none"/>
        </w:rPr>
        <w:t>发生故障接到用户维修要求后，投标人应承诺在</w:t>
      </w:r>
      <w:r>
        <w:rPr>
          <w:rFonts w:hint="eastAsia" w:asciiTheme="minorEastAsia" w:hAnsiTheme="minorEastAsia"/>
          <w:highlight w:val="none"/>
          <w:u w:val="single"/>
        </w:rPr>
        <w:t xml:space="preserve"> </w:t>
      </w:r>
      <w:r>
        <w:rPr>
          <w:rFonts w:hint="eastAsia" w:asciiTheme="minorEastAsia" w:hAnsiTheme="minorEastAsia"/>
          <w:highlight w:val="none"/>
          <w:u w:val="single"/>
        </w:rPr>
        <w:t>1</w:t>
      </w:r>
      <w:r>
        <w:rPr>
          <w:rFonts w:hint="eastAsia" w:asciiTheme="minorEastAsia" w:hAnsiTheme="minorEastAsia"/>
          <w:highlight w:val="none"/>
        </w:rPr>
        <w:t>小时内响应并提出解决方案，</w:t>
      </w:r>
      <w:r>
        <w:rPr>
          <w:rFonts w:hint="eastAsia" w:asciiTheme="minorEastAsia" w:hAnsiTheme="minorEastAsia"/>
          <w:highlight w:val="none"/>
          <w:u w:val="single"/>
        </w:rPr>
        <w:t>4</w:t>
      </w:r>
      <w:r>
        <w:rPr>
          <w:rFonts w:hint="eastAsia" w:asciiTheme="minorEastAsia" w:hAnsiTheme="minorEastAsia"/>
          <w:highlight w:val="none"/>
        </w:rPr>
        <w:t>小时内到现场进行故障处理，维修过程中所需材料在接到通知后应及时提供，最多不超过</w:t>
      </w:r>
      <w:r>
        <w:rPr>
          <w:rFonts w:hint="eastAsia" w:asciiTheme="minorEastAsia" w:hAnsiTheme="minorEastAsia"/>
          <w:highlight w:val="none"/>
          <w:u w:val="single"/>
        </w:rPr>
        <w:t>12</w:t>
      </w:r>
      <w:r>
        <w:rPr>
          <w:rFonts w:hint="eastAsia" w:asciiTheme="minorEastAsia" w:hAnsiTheme="minorEastAsia"/>
          <w:highlight w:val="none"/>
        </w:rPr>
        <w:t>小时。若（设备）短期无法修复，应提供相应备件并负责安装调试。</w:t>
      </w:r>
    </w:p>
    <w:p>
      <w:pPr>
        <w:pStyle w:val="17"/>
        <w:numPr>
          <w:ilvl w:val="1"/>
          <w:numId w:val="2"/>
        </w:numPr>
        <w:spacing w:line="408" w:lineRule="auto"/>
        <w:ind w:left="420" w:firstLine="0" w:firstLineChars="0"/>
        <w:rPr>
          <w:rFonts w:asciiTheme="minorEastAsia" w:hAnsiTheme="minorEastAsia"/>
          <w:highlight w:val="none"/>
        </w:rPr>
      </w:pPr>
      <w:r>
        <w:rPr>
          <w:rFonts w:hint="eastAsia" w:asciiTheme="minorEastAsia" w:hAnsiTheme="minorEastAsia"/>
          <w:highlight w:val="none"/>
        </w:rPr>
        <w:t>其它（补充）：</w:t>
      </w:r>
      <w:r>
        <w:rPr>
          <w:rFonts w:hint="eastAsia" w:asciiTheme="minorEastAsia" w:hAnsiTheme="minorEastAsia"/>
          <w:highlight w:val="none"/>
          <w:u w:val="single"/>
        </w:rPr>
        <w:t xml:space="preserve">   </w:t>
      </w:r>
      <w:r>
        <w:rPr>
          <w:rFonts w:hint="eastAsia" w:asciiTheme="minorEastAsia" w:hAnsiTheme="minorEastAsia"/>
          <w:highlight w:val="none"/>
          <w:u w:val="single"/>
          <w:lang w:val="en-US" w:eastAsia="zh-CN"/>
        </w:rPr>
        <w:t>-----</w:t>
      </w:r>
      <w:r>
        <w:rPr>
          <w:rFonts w:hint="eastAsia" w:asciiTheme="minorEastAsia" w:hAnsiTheme="minorEastAsia"/>
          <w:highlight w:val="none"/>
          <w:u w:val="single"/>
        </w:rPr>
        <w:t xml:space="preserve">    </w:t>
      </w:r>
    </w:p>
    <w:p>
      <w:pPr>
        <w:pStyle w:val="17"/>
        <w:numPr>
          <w:ilvl w:val="0"/>
          <w:numId w:val="1"/>
        </w:numPr>
        <w:spacing w:line="480" w:lineRule="auto"/>
        <w:ind w:left="425" w:leftChars="0" w:hanging="425" w:firstLineChars="0"/>
        <w:rPr>
          <w:b/>
          <w:sz w:val="24"/>
          <w:szCs w:val="24"/>
          <w:highlight w:val="none"/>
        </w:rPr>
      </w:pPr>
      <w:r>
        <w:rPr>
          <w:rFonts w:hint="eastAsia"/>
          <w:highlight w:val="none"/>
        </w:rPr>
        <w:sym w:font="Wingdings" w:char="F0AB"/>
      </w:r>
      <w:r>
        <w:rPr>
          <w:rFonts w:hint="eastAsia"/>
          <w:b/>
          <w:sz w:val="24"/>
          <w:szCs w:val="24"/>
          <w:highlight w:val="none"/>
        </w:rPr>
        <w:t>交货时间及地点</w:t>
      </w:r>
      <w:r>
        <w:rPr>
          <w:rFonts w:hint="eastAsia"/>
          <w:b/>
          <w:sz w:val="24"/>
          <w:szCs w:val="24"/>
          <w:highlight w:val="none"/>
          <w:lang w:eastAsia="zh-CN"/>
        </w:rPr>
        <w:t>：</w:t>
      </w:r>
      <w:r>
        <w:rPr>
          <w:rFonts w:hint="eastAsia"/>
          <w:b/>
          <w:sz w:val="24"/>
          <w:szCs w:val="24"/>
          <w:highlight w:val="none"/>
        </w:rPr>
        <w:tab/>
      </w:r>
    </w:p>
    <w:p>
      <w:pPr>
        <w:pStyle w:val="17"/>
        <w:numPr>
          <w:ilvl w:val="1"/>
          <w:numId w:val="3"/>
        </w:numPr>
        <w:spacing w:line="408" w:lineRule="auto"/>
        <w:ind w:left="420" w:firstLine="0" w:firstLineChars="0"/>
        <w:jc w:val="left"/>
        <w:rPr>
          <w:rFonts w:asciiTheme="minorEastAsia" w:hAnsiTheme="minorEastAsia"/>
          <w:highlight w:val="none"/>
        </w:rPr>
      </w:pPr>
      <w:r>
        <w:rPr>
          <w:rFonts w:hint="eastAsia" w:asciiTheme="minorEastAsia" w:hAnsiTheme="minorEastAsia"/>
          <w:highlight w:val="none"/>
        </w:rPr>
        <w:t>交货时间：合同签订后</w:t>
      </w:r>
      <w:r>
        <w:rPr>
          <w:rFonts w:hint="eastAsia" w:asciiTheme="minorEastAsia" w:hAnsiTheme="minorEastAsia"/>
          <w:highlight w:val="none"/>
          <w:u w:val="single"/>
        </w:rPr>
        <w:t xml:space="preserve">  7 </w:t>
      </w:r>
      <w:r>
        <w:rPr>
          <w:rFonts w:hint="eastAsia" w:asciiTheme="minorEastAsia" w:hAnsiTheme="minorEastAsia"/>
          <w:highlight w:val="none"/>
        </w:rPr>
        <w:t>工作日内完成供货、安装、调试。</w:t>
      </w:r>
    </w:p>
    <w:p>
      <w:pPr>
        <w:pStyle w:val="17"/>
        <w:numPr>
          <w:ilvl w:val="1"/>
          <w:numId w:val="3"/>
        </w:numPr>
        <w:spacing w:line="408" w:lineRule="auto"/>
        <w:ind w:left="420" w:firstLine="0" w:firstLineChars="0"/>
        <w:jc w:val="left"/>
        <w:rPr>
          <w:rFonts w:asciiTheme="minorEastAsia" w:hAnsiTheme="minorEastAsia"/>
          <w:highlight w:val="none"/>
        </w:rPr>
      </w:pPr>
      <w:r>
        <w:rPr>
          <w:rFonts w:hint="eastAsia" w:asciiTheme="minorEastAsia" w:hAnsiTheme="minorEastAsia"/>
          <w:highlight w:val="none"/>
        </w:rPr>
        <w:t>地点：浙江机电职业技术学院</w:t>
      </w:r>
      <w:r>
        <w:rPr>
          <w:rFonts w:hint="eastAsia" w:asciiTheme="minorEastAsia" w:hAnsiTheme="minorEastAsia"/>
          <w:highlight w:val="none"/>
          <w:u w:val="single"/>
        </w:rPr>
        <w:t xml:space="preserve">  海宁校区 </w:t>
      </w:r>
      <w:r>
        <w:rPr>
          <w:rFonts w:hint="eastAsia" w:asciiTheme="minorEastAsia" w:hAnsiTheme="minorEastAsia"/>
          <w:highlight w:val="none"/>
          <w:u w:val="single"/>
          <w:lang w:eastAsia="zh-CN"/>
        </w:rPr>
        <w:t>（浙江省嘉兴市海宁市长安镇青年路</w:t>
      </w:r>
      <w:r>
        <w:rPr>
          <w:rFonts w:hint="eastAsia" w:asciiTheme="minorEastAsia" w:hAnsiTheme="minorEastAsia"/>
          <w:highlight w:val="none"/>
          <w:u w:val="single"/>
          <w:lang w:val="en-US" w:eastAsia="zh-CN"/>
        </w:rPr>
        <w:t>999号</w:t>
      </w:r>
      <w:r>
        <w:rPr>
          <w:rFonts w:hint="eastAsia" w:asciiTheme="minorEastAsia" w:hAnsiTheme="minorEastAsia"/>
          <w:highlight w:val="none"/>
          <w:u w:val="single"/>
          <w:lang w:eastAsia="zh-CN"/>
        </w:rPr>
        <w:t>）</w:t>
      </w:r>
      <w:r>
        <w:rPr>
          <w:rFonts w:hint="eastAsia" w:asciiTheme="minorEastAsia" w:hAnsiTheme="minorEastAsia"/>
          <w:highlight w:val="none"/>
          <w:u w:val="single"/>
        </w:rPr>
        <w:t xml:space="preserve">  </w:t>
      </w:r>
      <w:r>
        <w:rPr>
          <w:rFonts w:hint="eastAsia" w:asciiTheme="minorEastAsia" w:hAnsiTheme="minorEastAsia"/>
          <w:highlight w:val="none"/>
        </w:rPr>
        <w:t>。</w:t>
      </w:r>
    </w:p>
    <w:p>
      <w:pPr>
        <w:pStyle w:val="17"/>
        <w:numPr>
          <w:ilvl w:val="0"/>
          <w:numId w:val="1"/>
        </w:numPr>
        <w:spacing w:line="480" w:lineRule="auto"/>
        <w:ind w:left="425" w:leftChars="0" w:hanging="425" w:firstLineChars="0"/>
        <w:rPr>
          <w:b/>
          <w:sz w:val="24"/>
          <w:szCs w:val="24"/>
          <w:highlight w:val="none"/>
        </w:rPr>
      </w:pPr>
      <w:r>
        <w:rPr>
          <w:rFonts w:hint="eastAsia"/>
          <w:b/>
          <w:sz w:val="24"/>
          <w:szCs w:val="24"/>
          <w:highlight w:val="none"/>
        </w:rPr>
        <w:t>付款方式：</w:t>
      </w:r>
      <w:bookmarkStart w:id="0" w:name="OLE_LINK1"/>
      <w:bookmarkStart w:id="1" w:name="OLE_LINK2"/>
    </w:p>
    <w:p>
      <w:pPr>
        <w:pStyle w:val="3"/>
        <w:numPr>
          <w:ilvl w:val="0"/>
          <w:numId w:val="0"/>
        </w:numPr>
        <w:spacing w:line="288" w:lineRule="auto"/>
        <w:ind w:leftChars="0" w:firstLine="420" w:firstLineChars="200"/>
        <w:rPr>
          <w:rFonts w:hAnsi="宋体"/>
          <w:kern w:val="2"/>
          <w:szCs w:val="21"/>
          <w:highlight w:val="none"/>
        </w:rPr>
      </w:pPr>
      <w:r>
        <w:rPr>
          <w:rFonts w:hint="eastAsia" w:hAnsi="宋体"/>
          <w:kern w:val="2"/>
          <w:szCs w:val="21"/>
          <w:highlight w:val="none"/>
        </w:rPr>
        <w:t>1)合同总价的5%作为履约保证金，合同签订后</w:t>
      </w:r>
      <w:r>
        <w:rPr>
          <w:rFonts w:hint="eastAsia" w:hAnsi="宋体"/>
          <w:kern w:val="2"/>
          <w:szCs w:val="21"/>
          <w:highlight w:val="none"/>
          <w:lang w:eastAsia="zh-CN"/>
        </w:rPr>
        <w:t>五</w:t>
      </w:r>
      <w:r>
        <w:rPr>
          <w:rFonts w:hint="eastAsia" w:hAnsi="宋体"/>
          <w:kern w:val="2"/>
          <w:szCs w:val="21"/>
          <w:highlight w:val="none"/>
        </w:rPr>
        <w:t>个工作日内由</w:t>
      </w:r>
      <w:r>
        <w:rPr>
          <w:rFonts w:hint="eastAsia" w:hAnsi="宋体"/>
          <w:kern w:val="2"/>
          <w:szCs w:val="21"/>
          <w:highlight w:val="none"/>
          <w:lang w:eastAsia="zh-CN"/>
        </w:rPr>
        <w:t>中标</w:t>
      </w:r>
      <w:r>
        <w:rPr>
          <w:rFonts w:hint="eastAsia" w:hAnsi="宋体"/>
          <w:kern w:val="2"/>
          <w:szCs w:val="21"/>
          <w:highlight w:val="none"/>
        </w:rPr>
        <w:t>方交入</w:t>
      </w:r>
      <w:r>
        <w:rPr>
          <w:rFonts w:hint="eastAsia" w:hAnsi="宋体"/>
          <w:kern w:val="2"/>
          <w:szCs w:val="21"/>
          <w:highlight w:val="none"/>
          <w:lang w:eastAsia="zh-CN"/>
        </w:rPr>
        <w:t>采购人</w:t>
      </w:r>
      <w:r>
        <w:rPr>
          <w:rFonts w:hint="eastAsia" w:hAnsi="宋体"/>
          <w:kern w:val="2"/>
          <w:szCs w:val="21"/>
          <w:highlight w:val="none"/>
        </w:rPr>
        <w:t>账户，在</w:t>
      </w:r>
      <w:r>
        <w:rPr>
          <w:rFonts w:hint="eastAsia" w:hAnsi="宋体"/>
          <w:kern w:val="2"/>
          <w:szCs w:val="21"/>
          <w:highlight w:val="none"/>
          <w:lang w:eastAsia="zh-CN"/>
        </w:rPr>
        <w:t>采购人</w:t>
      </w:r>
      <w:r>
        <w:rPr>
          <w:rFonts w:hint="eastAsia" w:hAnsi="宋体"/>
          <w:kern w:val="2"/>
          <w:szCs w:val="21"/>
          <w:highlight w:val="none"/>
        </w:rPr>
        <w:t>验收合格并正常使用满一年后确认</w:t>
      </w:r>
      <w:r>
        <w:rPr>
          <w:rFonts w:hint="eastAsia" w:hAnsi="宋体"/>
          <w:kern w:val="2"/>
          <w:szCs w:val="21"/>
          <w:highlight w:val="none"/>
          <w:lang w:eastAsia="zh-CN"/>
        </w:rPr>
        <w:t>中标</w:t>
      </w:r>
      <w:bookmarkStart w:id="2" w:name="_GoBack"/>
      <w:bookmarkEnd w:id="2"/>
      <w:r>
        <w:rPr>
          <w:rFonts w:hint="eastAsia" w:hAnsi="宋体"/>
          <w:kern w:val="2"/>
          <w:szCs w:val="21"/>
          <w:highlight w:val="none"/>
        </w:rPr>
        <w:t>方无违约行为后无息返还给</w:t>
      </w:r>
      <w:r>
        <w:rPr>
          <w:rFonts w:hint="eastAsia" w:hAnsi="宋体"/>
          <w:kern w:val="2"/>
          <w:szCs w:val="21"/>
          <w:highlight w:val="none"/>
          <w:lang w:eastAsia="zh-CN"/>
        </w:rPr>
        <w:t>中标方</w:t>
      </w:r>
      <w:r>
        <w:rPr>
          <w:rFonts w:hint="eastAsia" w:hAnsi="宋体"/>
          <w:kern w:val="2"/>
          <w:szCs w:val="21"/>
          <w:highlight w:val="none"/>
        </w:rPr>
        <w:t>（遇寒暑假及国定假日顺延）。</w:t>
      </w:r>
    </w:p>
    <w:p>
      <w:pPr>
        <w:pStyle w:val="17"/>
        <w:numPr>
          <w:ilvl w:val="0"/>
          <w:numId w:val="4"/>
        </w:numPr>
        <w:spacing w:line="408" w:lineRule="auto"/>
        <w:ind w:firstLineChars="0"/>
        <w:jc w:val="left"/>
        <w:rPr>
          <w:rFonts w:asciiTheme="minorEastAsia" w:hAnsiTheme="minorEastAsia"/>
          <w:highlight w:val="none"/>
        </w:rPr>
      </w:pPr>
      <w:r>
        <w:rPr>
          <w:rFonts w:hint="eastAsia" w:asciiTheme="minorEastAsia" w:hAnsiTheme="minorEastAsia"/>
          <w:highlight w:val="none"/>
        </w:rPr>
        <w:t>货物自验收合格并正常运行后二十个工作日内，采购人向中标方一次性支付全部货款(&lt;100万货物)。</w:t>
      </w:r>
    </w:p>
    <w:bookmarkEnd w:id="0"/>
    <w:bookmarkEnd w:id="1"/>
    <w:p>
      <w:pPr>
        <w:pStyle w:val="17"/>
        <w:spacing w:line="360" w:lineRule="auto"/>
        <w:ind w:left="420" w:right="68" w:firstLine="0" w:firstLineChars="0"/>
        <w:jc w:val="right"/>
        <w:rPr>
          <w:b/>
          <w:sz w:val="24"/>
          <w:szCs w:val="24"/>
          <w:highlight w:val="none"/>
        </w:rPr>
      </w:pPr>
      <w:r>
        <w:rPr>
          <w:rFonts w:hint="eastAsia"/>
          <w:b/>
          <w:sz w:val="24"/>
          <w:szCs w:val="24"/>
          <w:highlight w:val="none"/>
        </w:rPr>
        <w:t>浙江机电职业技术学院</w:t>
      </w:r>
    </w:p>
    <w:p>
      <w:pPr>
        <w:pStyle w:val="17"/>
        <w:spacing w:line="360" w:lineRule="auto"/>
        <w:ind w:left="420" w:right="80" w:firstLine="0" w:firstLineChars="0"/>
        <w:jc w:val="center"/>
        <w:rPr>
          <w:b/>
          <w:sz w:val="24"/>
          <w:szCs w:val="24"/>
          <w:highlight w:val="none"/>
        </w:rPr>
      </w:pPr>
      <w:r>
        <w:rPr>
          <w:rFonts w:hint="eastAsia"/>
          <w:b/>
          <w:sz w:val="24"/>
          <w:szCs w:val="24"/>
          <w:highlight w:val="none"/>
        </w:rPr>
        <w:t xml:space="preserve">                                                                                               资产管理处</w:t>
      </w:r>
    </w:p>
    <w:p>
      <w:pPr>
        <w:pStyle w:val="17"/>
        <w:spacing w:line="360" w:lineRule="auto"/>
        <w:ind w:left="420" w:firstLine="0" w:firstLineChars="0"/>
        <w:rPr>
          <w:rFonts w:ascii="宋体" w:hAnsi="宋体"/>
          <w:b/>
          <w:sz w:val="24"/>
          <w:szCs w:val="24"/>
          <w:highlight w:val="none"/>
        </w:rPr>
      </w:pPr>
      <w:r>
        <w:rPr>
          <w:rFonts w:hint="eastAsia"/>
          <w:b/>
          <w:sz w:val="24"/>
          <w:szCs w:val="24"/>
          <w:highlight w:val="none"/>
        </w:rPr>
        <w:t xml:space="preserve">                                                                              </w:t>
      </w:r>
      <w:r>
        <w:rPr>
          <w:rFonts w:hint="eastAsia" w:ascii="宋体" w:hAnsi="宋体"/>
          <w:b/>
          <w:sz w:val="24"/>
          <w:szCs w:val="24"/>
          <w:highlight w:val="none"/>
        </w:rPr>
        <w:t xml:space="preserve">                  2021年</w:t>
      </w:r>
      <w:r>
        <w:rPr>
          <w:rFonts w:hint="eastAsia" w:ascii="宋体" w:hAnsi="宋体"/>
          <w:b/>
          <w:sz w:val="24"/>
          <w:szCs w:val="24"/>
          <w:highlight w:val="none"/>
          <w:lang w:val="en-US" w:eastAsia="zh-CN"/>
        </w:rPr>
        <w:t>6</w:t>
      </w:r>
      <w:r>
        <w:rPr>
          <w:rFonts w:hint="eastAsia" w:ascii="宋体" w:hAnsi="宋体"/>
          <w:b/>
          <w:sz w:val="24"/>
          <w:szCs w:val="24"/>
          <w:highlight w:val="none"/>
        </w:rPr>
        <w:t>月1</w:t>
      </w:r>
      <w:r>
        <w:rPr>
          <w:rFonts w:hint="eastAsia" w:ascii="宋体" w:hAnsi="宋体"/>
          <w:b/>
          <w:sz w:val="24"/>
          <w:szCs w:val="24"/>
          <w:highlight w:val="none"/>
          <w:lang w:val="en-US" w:eastAsia="zh-CN"/>
        </w:rPr>
        <w:t>1</w:t>
      </w:r>
      <w:r>
        <w:rPr>
          <w:rFonts w:hint="eastAsia" w:ascii="宋体" w:hAnsi="宋体"/>
          <w:b/>
          <w:sz w:val="24"/>
          <w:szCs w:val="24"/>
          <w:highlight w:val="none"/>
        </w:rPr>
        <w:t>日</w:t>
      </w:r>
    </w:p>
    <w:p>
      <w:pPr>
        <w:pStyle w:val="17"/>
        <w:spacing w:line="480" w:lineRule="auto"/>
        <w:ind w:left="420" w:firstLine="0" w:firstLineChars="0"/>
        <w:jc w:val="right"/>
        <w:rPr>
          <w:rFonts w:hint="eastAsia" w:asciiTheme="minorEastAsia" w:hAnsiTheme="minorEastAsia" w:eastAsiaTheme="minorEastAsia"/>
          <w:b/>
          <w:sz w:val="24"/>
          <w:szCs w:val="24"/>
          <w:highlight w:val="none"/>
          <w:lang w:eastAsia="zh-CN"/>
        </w:rPr>
      </w:pPr>
    </w:p>
    <w:sectPr>
      <w:footerReference r:id="rId3" w:type="default"/>
      <w:pgSz w:w="16838" w:h="11906" w:orient="landscape"/>
      <w:pgMar w:top="709" w:right="1440" w:bottom="1418" w:left="144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8957"/>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EF19C"/>
    <w:multiLevelType w:val="singleLevel"/>
    <w:tmpl w:val="E3AEF19C"/>
    <w:lvl w:ilvl="0" w:tentative="0">
      <w:start w:val="1"/>
      <w:numFmt w:val="decimal"/>
      <w:lvlText w:val="%1."/>
      <w:lvlJc w:val="left"/>
      <w:pPr>
        <w:ind w:left="425" w:hanging="425"/>
      </w:pPr>
      <w:rPr>
        <w:rFonts w:hint="default"/>
      </w:rPr>
    </w:lvl>
  </w:abstractNum>
  <w:abstractNum w:abstractNumId="1">
    <w:nsid w:val="E7DB2A9D"/>
    <w:multiLevelType w:val="multilevel"/>
    <w:tmpl w:val="E7DB2A9D"/>
    <w:lvl w:ilvl="0" w:tentative="0">
      <w:start w:val="1"/>
      <w:numFmt w:val="decimal"/>
      <w:lvlText w:val="%1."/>
      <w:lvlJc w:val="left"/>
      <w:pPr>
        <w:ind w:left="420" w:hanging="420"/>
      </w:pPr>
      <w:rPr>
        <w:rFonts w:ascii="仿宋" w:hAnsi="仿宋" w:eastAsia="仿宋"/>
        <w:b w:val="0"/>
        <w:sz w:val="24"/>
        <w:szCs w:val="24"/>
      </w:rPr>
    </w:lvl>
    <w:lvl w:ilvl="1" w:tentative="0">
      <w:start w:val="1"/>
      <w:numFmt w:val="decimal"/>
      <w:suff w:val="space"/>
      <w:lvlText w:val="%2)"/>
      <w:lvlJc w:val="left"/>
      <w:pPr>
        <w:ind w:left="630" w:hanging="204"/>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475E30"/>
    <w:multiLevelType w:val="multilevel"/>
    <w:tmpl w:val="51475E30"/>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F2F40C8"/>
    <w:multiLevelType w:val="multilevel"/>
    <w:tmpl w:val="6F2F40C8"/>
    <w:lvl w:ilvl="0" w:tentative="0">
      <w:start w:val="1"/>
      <w:numFmt w:val="decimal"/>
      <w:lvlText w:val="%1."/>
      <w:lvlJc w:val="left"/>
      <w:pPr>
        <w:ind w:left="420" w:hanging="420"/>
      </w:pPr>
      <w:rPr>
        <w:rFonts w:ascii="仿宋" w:hAnsi="仿宋" w:eastAsia="仿宋"/>
        <w:b w:val="0"/>
        <w:sz w:val="24"/>
        <w:szCs w:val="24"/>
      </w:rPr>
    </w:lvl>
    <w:lvl w:ilvl="1" w:tentative="0">
      <w:start w:val="1"/>
      <w:numFmt w:val="decimal"/>
      <w:suff w:val="space"/>
      <w:lvlText w:val="%2)"/>
      <w:lvlJc w:val="left"/>
      <w:pPr>
        <w:ind w:left="630" w:hanging="204"/>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0EAD"/>
    <w:rsid w:val="00001499"/>
    <w:rsid w:val="00060601"/>
    <w:rsid w:val="0007503C"/>
    <w:rsid w:val="000B17E4"/>
    <w:rsid w:val="000C2E57"/>
    <w:rsid w:val="000D6A7B"/>
    <w:rsid w:val="00120F80"/>
    <w:rsid w:val="00124552"/>
    <w:rsid w:val="001429FD"/>
    <w:rsid w:val="00150FED"/>
    <w:rsid w:val="00191913"/>
    <w:rsid w:val="001A039D"/>
    <w:rsid w:val="001D3DB2"/>
    <w:rsid w:val="00201F33"/>
    <w:rsid w:val="00205997"/>
    <w:rsid w:val="00225837"/>
    <w:rsid w:val="00226E11"/>
    <w:rsid w:val="00231D13"/>
    <w:rsid w:val="0027286A"/>
    <w:rsid w:val="0027437B"/>
    <w:rsid w:val="002763A0"/>
    <w:rsid w:val="00276B46"/>
    <w:rsid w:val="002B1B8B"/>
    <w:rsid w:val="002D0D78"/>
    <w:rsid w:val="002F599F"/>
    <w:rsid w:val="00301BD8"/>
    <w:rsid w:val="003038D0"/>
    <w:rsid w:val="003100DC"/>
    <w:rsid w:val="0033216A"/>
    <w:rsid w:val="00354450"/>
    <w:rsid w:val="00354613"/>
    <w:rsid w:val="00375870"/>
    <w:rsid w:val="003841DF"/>
    <w:rsid w:val="00385146"/>
    <w:rsid w:val="003E3E6D"/>
    <w:rsid w:val="003E748E"/>
    <w:rsid w:val="00416002"/>
    <w:rsid w:val="0042124E"/>
    <w:rsid w:val="004654FD"/>
    <w:rsid w:val="00475112"/>
    <w:rsid w:val="00477909"/>
    <w:rsid w:val="00497752"/>
    <w:rsid w:val="004B56E6"/>
    <w:rsid w:val="004B6831"/>
    <w:rsid w:val="004C3F27"/>
    <w:rsid w:val="004E0D27"/>
    <w:rsid w:val="004E3091"/>
    <w:rsid w:val="00502DA1"/>
    <w:rsid w:val="0050301C"/>
    <w:rsid w:val="005235B9"/>
    <w:rsid w:val="0053768F"/>
    <w:rsid w:val="0058544B"/>
    <w:rsid w:val="005A0C4E"/>
    <w:rsid w:val="005C3F65"/>
    <w:rsid w:val="005D0F2F"/>
    <w:rsid w:val="005F5D2C"/>
    <w:rsid w:val="00610C72"/>
    <w:rsid w:val="00662C9E"/>
    <w:rsid w:val="00672B28"/>
    <w:rsid w:val="00673C32"/>
    <w:rsid w:val="0068172F"/>
    <w:rsid w:val="006A3BC0"/>
    <w:rsid w:val="006B19C6"/>
    <w:rsid w:val="006B2117"/>
    <w:rsid w:val="006C3C44"/>
    <w:rsid w:val="006D0097"/>
    <w:rsid w:val="006F615D"/>
    <w:rsid w:val="00704BEB"/>
    <w:rsid w:val="007124ED"/>
    <w:rsid w:val="00732684"/>
    <w:rsid w:val="00765938"/>
    <w:rsid w:val="00775652"/>
    <w:rsid w:val="0078250D"/>
    <w:rsid w:val="00797472"/>
    <w:rsid w:val="007E6460"/>
    <w:rsid w:val="007F722E"/>
    <w:rsid w:val="00800208"/>
    <w:rsid w:val="00816708"/>
    <w:rsid w:val="00820AE9"/>
    <w:rsid w:val="008301C7"/>
    <w:rsid w:val="00836BAB"/>
    <w:rsid w:val="008753D7"/>
    <w:rsid w:val="0089368C"/>
    <w:rsid w:val="008B1DCB"/>
    <w:rsid w:val="009554DC"/>
    <w:rsid w:val="009705C2"/>
    <w:rsid w:val="0098390E"/>
    <w:rsid w:val="009917DF"/>
    <w:rsid w:val="00994447"/>
    <w:rsid w:val="009A4089"/>
    <w:rsid w:val="009C39E2"/>
    <w:rsid w:val="009D3740"/>
    <w:rsid w:val="009E5001"/>
    <w:rsid w:val="00A06EE6"/>
    <w:rsid w:val="00A20A7E"/>
    <w:rsid w:val="00A34467"/>
    <w:rsid w:val="00A5513E"/>
    <w:rsid w:val="00A6417D"/>
    <w:rsid w:val="00A80EAD"/>
    <w:rsid w:val="00A932F0"/>
    <w:rsid w:val="00AA03A9"/>
    <w:rsid w:val="00AA0ADD"/>
    <w:rsid w:val="00AB57B3"/>
    <w:rsid w:val="00AE0486"/>
    <w:rsid w:val="00AF0CA4"/>
    <w:rsid w:val="00AF4CB9"/>
    <w:rsid w:val="00B11DF3"/>
    <w:rsid w:val="00B13847"/>
    <w:rsid w:val="00BA6E42"/>
    <w:rsid w:val="00BC0823"/>
    <w:rsid w:val="00BC09FF"/>
    <w:rsid w:val="00BD0B24"/>
    <w:rsid w:val="00BD71C6"/>
    <w:rsid w:val="00BF048B"/>
    <w:rsid w:val="00BF7212"/>
    <w:rsid w:val="00C32A97"/>
    <w:rsid w:val="00C63D06"/>
    <w:rsid w:val="00C92434"/>
    <w:rsid w:val="00C94A69"/>
    <w:rsid w:val="00CF5D8C"/>
    <w:rsid w:val="00D46EAD"/>
    <w:rsid w:val="00D51EAE"/>
    <w:rsid w:val="00DC1D5A"/>
    <w:rsid w:val="00DF34C8"/>
    <w:rsid w:val="00E0049B"/>
    <w:rsid w:val="00E104B6"/>
    <w:rsid w:val="00E22A6B"/>
    <w:rsid w:val="00E31673"/>
    <w:rsid w:val="00E36431"/>
    <w:rsid w:val="00E52163"/>
    <w:rsid w:val="00E5715C"/>
    <w:rsid w:val="00E91AA1"/>
    <w:rsid w:val="00EA6B24"/>
    <w:rsid w:val="00EC2396"/>
    <w:rsid w:val="00F148C6"/>
    <w:rsid w:val="00F76CE4"/>
    <w:rsid w:val="00F77E8D"/>
    <w:rsid w:val="00FE3D5B"/>
    <w:rsid w:val="1D6137F8"/>
    <w:rsid w:val="23FC5EB6"/>
    <w:rsid w:val="3DA40373"/>
    <w:rsid w:val="4C6C49FC"/>
    <w:rsid w:val="4E747BFE"/>
    <w:rsid w:val="4F285BF7"/>
    <w:rsid w:val="55EB7207"/>
    <w:rsid w:val="5C4D2F3A"/>
    <w:rsid w:val="7009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pPr>
      <w:widowControl/>
      <w:overflowPunct w:val="0"/>
      <w:autoSpaceDE w:val="0"/>
      <w:autoSpaceDN w:val="0"/>
      <w:adjustRightInd w:val="0"/>
      <w:jc w:val="left"/>
    </w:pPr>
    <w:rPr>
      <w:rFonts w:ascii="宋体" w:hAnsi="Courier New" w:eastAsia="宋体" w:cs="Times New Roman"/>
      <w:kern w:val="0"/>
      <w:szCs w:val="20"/>
    </w:rPr>
  </w:style>
  <w:style w:type="paragraph" w:styleId="4">
    <w:name w:val="Balloon Text"/>
    <w:basedOn w:val="1"/>
    <w:link w:val="20"/>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800080" w:themeColor="followedHyperlink"/>
      <w:u w:val="single"/>
    </w:rPr>
  </w:style>
  <w:style w:type="character" w:styleId="11">
    <w:name w:val="Hyperlink"/>
    <w:basedOn w:val="9"/>
    <w:unhideWhenUsed/>
    <w:qFormat/>
    <w:uiPriority w:val="99"/>
    <w:rPr>
      <w:color w:val="0000FF" w:themeColor="hyperlink"/>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纯文本 Char"/>
    <w:link w:val="3"/>
    <w:qFormat/>
    <w:uiPriority w:val="0"/>
    <w:rPr>
      <w:rFonts w:ascii="宋体" w:hAnsi="Courier New" w:eastAsia="宋体" w:cs="Times New Roman"/>
      <w:kern w:val="0"/>
      <w:szCs w:val="20"/>
    </w:rPr>
  </w:style>
  <w:style w:type="character" w:customStyle="1" w:styleId="15">
    <w:name w:val="纯文本 Char1"/>
    <w:basedOn w:val="9"/>
    <w:link w:val="3"/>
    <w:semiHidden/>
    <w:qFormat/>
    <w:uiPriority w:val="99"/>
    <w:rPr>
      <w:rFonts w:ascii="宋体" w:hAnsi="Courier New" w:eastAsia="宋体" w:cs="Courier New"/>
      <w:szCs w:val="21"/>
    </w:rPr>
  </w:style>
  <w:style w:type="character" w:customStyle="1" w:styleId="16">
    <w:name w:val="标题 1 Char"/>
    <w:basedOn w:val="9"/>
    <w:link w:val="2"/>
    <w:qFormat/>
    <w:uiPriority w:val="9"/>
    <w:rPr>
      <w:b/>
      <w:bCs/>
      <w:kern w:val="44"/>
      <w:sz w:val="44"/>
      <w:szCs w:val="44"/>
    </w:rPr>
  </w:style>
  <w:style w:type="paragraph" w:styleId="17">
    <w:name w:val="List Paragraph"/>
    <w:basedOn w:val="1"/>
    <w:qFormat/>
    <w:uiPriority w:val="34"/>
    <w:pPr>
      <w:ind w:firstLine="420" w:firstLineChars="200"/>
    </w:pPr>
  </w:style>
  <w:style w:type="paragraph" w:styleId="18">
    <w:name w:val="No Spacing"/>
    <w:link w:val="19"/>
    <w:qFormat/>
    <w:uiPriority w:val="1"/>
    <w:rPr>
      <w:rFonts w:asciiTheme="minorHAnsi" w:hAnsiTheme="minorHAnsi" w:eastAsiaTheme="minorEastAsia" w:cstheme="minorBidi"/>
      <w:kern w:val="0"/>
      <w:sz w:val="22"/>
      <w:szCs w:val="22"/>
      <w:lang w:val="en-US" w:eastAsia="zh-CN" w:bidi="ar-SA"/>
    </w:rPr>
  </w:style>
  <w:style w:type="character" w:customStyle="1" w:styleId="19">
    <w:name w:val="无间隔 Char"/>
    <w:basedOn w:val="9"/>
    <w:link w:val="18"/>
    <w:qFormat/>
    <w:uiPriority w:val="1"/>
    <w:rPr>
      <w:kern w:val="0"/>
      <w:sz w:val="22"/>
    </w:rPr>
  </w:style>
  <w:style w:type="character" w:customStyle="1" w:styleId="20">
    <w:name w:val="批注框文本 Char"/>
    <w:basedOn w:val="9"/>
    <w:link w:val="4"/>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image" Target="media/image1.jpeg"/>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E9B30-DDE4-45F8-A47F-94C4C4044D4B}">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2</Pages>
  <Words>673</Words>
  <Characters>3838</Characters>
  <Lines>31</Lines>
  <Paragraphs>9</Paragraphs>
  <TotalTime>27</TotalTime>
  <ScaleCrop>false</ScaleCrop>
  <LinksUpToDate>false</LinksUpToDate>
  <CharactersWithSpaces>4502</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2016-12-14T01:23:00Z</dcterms:created>
  <dc:creator>NTKO</dc:creator>
  <lastModifiedBy>lenovo</lastModifiedBy>
  <lastPrinted>2016-12-14T01:23:00Z</lastPrinted>
  <dcterms:modified xsi:type="dcterms:W3CDTF">2021-06-11T01:37:57Z</dcterms:modified>
  <revision>61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2052-11.1.0.10495</vt:lpwstr>
  </property>
  <property fmtid="{D5CDD505-2E9C-101B-9397-08002B2CF9AE}" pid="4" name="ICV">
    <vt:lpwstr>92C6924248E04875A49FF549D464D34E</vt:lpwstr>
  </property>
</Properties>
</file>